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imatinib Axis</w:t>
      </w:r>
    </w:p>
    <w:p>
      <w:r>
        <w:t>Context: imatinib-relevant signaling</w:t>
      </w:r>
    </w:p>
    <w:p>
      <w:r>
        <w:t>Natural stack: Apigenin, Curcumin, Diosmetin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 targets extracted from literature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Curcumin</w:t>
      </w:r>
    </w:p>
    <w:p>
      <w:r>
        <w:t>• Evidence cluster: Interference with PDGF→PDGFR signaling; suppresses ERK/AKT readouts</w:t>
      </w:r>
    </w:p>
    <w:p>
      <w:r>
        <w:t>• Role in stack: PDGFR-side coverage + broad transcriptional stress/apoptosis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