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Memo — Natural Mimic / Intersection of Imatinib Axis</w:t>
      </w:r>
    </w:p>
    <w:p>
      <w:r>
        <w:t>Context: Imatinib-relevant signaling</w:t>
      </w:r>
    </w:p>
    <w:p>
      <w:r>
        <w:t>Natural stack: Apigenin, Curcumin, Diosmetin, Genistein</w:t>
      </w:r>
    </w:p>
    <w:p>
      <w:r>
        <w:t>Intent: mechanistic intersection + signature convergence, not clinical substitution</w:t>
      </w:r>
    </w:p>
    <w:p>
      <w:pPr>
        <w:pStyle w:val="Heading1"/>
      </w:pPr>
      <w:r>
        <w:t>1) Anchor biology (targets → pathways)</w:t>
      </w:r>
    </w:p>
    <w:p>
      <w:r>
        <w:t>• Primary targets extracted from literature</w:t>
      </w:r>
    </w:p>
    <w:p>
      <w:r>
        <w:t>• Downstream axes: PI3K/AKT, RAS/ERK, JAK/STAT, cell-cycle + survival programs</w:t>
      </w:r>
    </w:p>
    <w:p>
      <w:pPr>
        <w:pStyle w:val="Heading1"/>
      </w:pPr>
      <w:r>
        <w:t>2) Natural compounds selected</w:t>
      </w:r>
    </w:p>
    <w:p>
      <w:r>
        <w:rPr>
          <w:b/>
        </w:rPr>
        <w:t>Apigenin</w:t>
      </w:r>
    </w:p>
    <w:p>
      <w:r>
        <w:t>• Evidence cluster: Inhibits KIT and PDGFR autophosphorylation, suppresses downstream AKT/ERK</w:t>
      </w:r>
    </w:p>
    <w:p>
      <w:r>
        <w:t>• Role in stack: Dual RTK coverage with strong downstream convergence</w:t>
      </w:r>
    </w:p>
    <w:p>
      <w:r>
        <w:rPr>
          <w:b/>
        </w:rPr>
        <w:t>Curcumin</w:t>
      </w:r>
    </w:p>
    <w:p>
      <w:r>
        <w:t>• Evidence cluster: Interference with PDGF→PDGFR signaling; suppresses ERK/AKT readouts</w:t>
      </w:r>
    </w:p>
    <w:p>
      <w:r>
        <w:t>• Role in stack: PDGFR-side coverage + broad transcriptional stress/apoptosis</w:t>
      </w:r>
    </w:p>
    <w:p>
      <w:r>
        <w:rPr>
          <w:b/>
        </w:rPr>
        <w:t>Diosmetin</w:t>
      </w:r>
    </w:p>
    <w:p>
      <w:r>
        <w:t>• Evidence cluster: Reported c-KIT signaling inhibition (kinase/cellular readouts)</w:t>
      </w:r>
    </w:p>
    <w:p>
      <w:r>
        <w:t>• Role in stack: KIT-side specificity (orthogonal to curcumin’s PDGFR bias)</w:t>
      </w:r>
    </w:p>
    <w:p>
      <w:r>
        <w:rPr>
          <w:b/>
        </w:rPr>
        <w:t>Genistein</w:t>
      </w:r>
    </w:p>
    <w:p>
      <w:r>
        <w:t>• Evidence cluster: Tyrosine kinase inhibition on KIT/PDGFR</w:t>
      </w:r>
    </w:p>
    <w:p>
      <w:r>
        <w:t>• Role in stack: Dual RTK coverage</w:t>
      </w:r>
    </w:p>
    <w:p>
      <w:pPr>
        <w:pStyle w:val="Heading1"/>
      </w:pPr>
      <w:r>
        <w:t>Why this stack</w:t>
      </w:r>
    </w:p>
    <w:p>
      <w:r>
        <w:t>• Orthogonality at primary target layer</w:t>
      </w:r>
    </w:p>
    <w:p>
      <w:r>
        <w:t>• Convergence downstream, enabling measurable pathway overlap</w:t>
      </w:r>
    </w:p>
    <w:p>
      <w:pPr>
        <w:pStyle w:val="Heading1"/>
      </w:pPr>
      <w:r>
        <w:t>3) Hypothesis (cause → effect)</w:t>
      </w:r>
    </w:p>
    <w:p>
      <w:r>
        <w:t>• H1: The stack yields greater suppression of shared downstream survival pathways than either alone</w:t>
      </w:r>
    </w:p>
    <w:p>
      <w:r>
        <w:t>• H2 (heterogeneity): Effect size varies by baseline target dependency</w:t>
      </w:r>
    </w:p>
    <w:p>
      <w:pPr>
        <w:pStyle w:val="Heading1"/>
      </w:pPr>
      <w:r>
        <w:t>4) Minimal experimental plan (low-cost, falsifiable)</w:t>
      </w:r>
    </w:p>
    <w:p>
      <w:r>
        <w:t>Models: Target-dependent cell line + control contrast</w:t>
      </w:r>
    </w:p>
    <w:p>
      <w:r>
        <w:t>Arms:</w:t>
      </w:r>
    </w:p>
    <w:p>
      <w:r>
        <w:t>• Vehicle</w:t>
      </w:r>
    </w:p>
    <w:p>
      <w:r>
        <w:t>• Apigenin</w:t>
      </w:r>
    </w:p>
    <w:p>
      <w:r>
        <w:t>• Curcumin</w:t>
      </w:r>
    </w:p>
    <w:p>
      <w:r>
        <w:t>• Diosmetin</w:t>
      </w:r>
    </w:p>
    <w:p>
      <w:r>
        <w:t>• Genistein</w:t>
      </w:r>
    </w:p>
    <w:p>
      <w:r>
        <w:t>• Combo (dose matrix, sub-toxic ranges)</w:t>
      </w:r>
    </w:p>
    <w:p>
      <w:r>
        <w:t>Primary readouts (48–72h): phospho-targets, phospho-downstream, viability + apoptosis</w:t>
      </w:r>
    </w:p>
    <w:p>
      <w:r>
        <w:t>Falsification: No additional suppression in combo vs singles → reject synergy</w:t>
      </w:r>
    </w:p>
    <w:p>
      <w:pPr>
        <w:pStyle w:val="Heading1"/>
      </w:pPr>
      <w:r>
        <w:t>5) Risk flags</w:t>
      </w:r>
    </w:p>
    <w:p>
      <w:r>
        <w:t>• Apigenin: risk score 3</w:t>
      </w:r>
    </w:p>
    <w:p>
      <w:r>
        <w:t>• Curcumin: risk score 6</w:t>
      </w:r>
    </w:p>
    <w:p>
      <w:r>
        <w:t>• Diosmetin: risk score 3</w:t>
      </w:r>
    </w:p>
    <w:p>
      <w:r>
        <w:t>• Genistein: risk score 4</w:t>
      </w:r>
    </w:p>
    <w:p>
      <w:r>
        <w:t>• PK interactions, bioavailability, compensatory pathways (monitor)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