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1F4E79"/>
          <w:sz w:val="40"/>
          <w:szCs w:val="40"/>
        </w:rPr>
        <w:t xml:space="preserve">Proyección de demografía y uso de suelo a 2030 y 2035</w:t>
      </w:r>
    </w:p>
    <w:p>
      <w:pPr>
        <w:spacing w:after="300"/>
        <w:jc w:val="center"/>
      </w:pPr>
      <w:r>
        <w:rPr>
          <w:color w:val="C55A11"/>
          <w:sz w:val="26"/>
          <w:szCs w:val="26"/>
        </w:rPr>
        <w:t xml:space="preserve">Metodología, calibración del modelo y resultados para el Gran Concepción</w:t>
      </w:r>
    </w:p>
    <w:p>
      <w:pPr>
        <w:spacing w:after="60"/>
        <w:jc w:val="center"/>
      </w:pPr>
      <w:r>
        <w:rPr>
          <w:sz w:val="22"/>
          <w:szCs w:val="22"/>
        </w:rPr>
        <w:t xml:space="preserve">Rodrigo Medina González · Universidad de Concepción</w:t>
      </w:r>
    </w:p>
    <w:p>
      <w:pPr>
        <w:spacing w:after="60"/>
        <w:jc w:val="center"/>
      </w:pPr>
      <w:r>
        <w:rPr>
          <w:color w:val="5B6B7B"/>
          <w:sz w:val="20"/>
          <w:szCs w:val="20"/>
        </w:rPr>
        <w:t xml:space="preserve">Plataforma nacional de uso de suelo · Versión provisional (MVP)</w:t>
      </w:r>
    </w:p>
    <w:p>
      <w:pPr>
        <w:spacing w:after="600"/>
        <w:jc w:val="center"/>
      </w:pPr>
      <w:r>
        <w:rPr>
          <w:color w:val="5B6B7B"/>
          <w:sz w:val="20"/>
          <w:szCs w:val="20"/>
        </w:rPr>
        <w:t xml:space="preserve">Junio 2026</w:t>
      </w:r>
    </w:p>
    <w:p>
      <w:pPr>
        <w:pBdr>
          <w:top w:val="single" w:color="C55A11" w:sz="6" w:space="6"/>
        </w:pBdr>
        <w:spacing w:after="120"/>
      </w:pPr>
      <w:r>
        <w:t xml:space="preserve"/>
      </w:r>
    </w:p>
    <w:p>
      <w:pPr>
        <w:spacing w:after="0"/>
      </w:pPr>
      <w:r>
        <w:rPr>
          <w:b/>
          <w:bCs/>
          <w:color w:val="C55A11"/>
          <w:sz w:val="18"/>
          <w:szCs w:val="18"/>
        </w:rPr>
        <w:t xml:space="preserve">Advertencia: </w:t>
      </w:r>
      <w:r>
        <w:rPr>
          <w:color w:val="5B6B7B"/>
          <w:sz w:val="18"/>
          <w:szCs w:val="18"/>
        </w:rPr>
        <w:t xml:space="preserve">son escenarios calibrados, no pronósticos oficiales. La proyección demográfica usa un método provisional (fallback) a la espera de la proyección de población comunal del INE. El uso de suelo es el efectivo (fiscal) del Catastro SII, no el normativo.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Metodología</w:t>
      </w:r>
    </w:p>
    <w:p>
      <w:pPr>
        <w:spacing w:after="120" w:before="0"/>
      </w:pPr>
      <w:r>
        <w:t xml:space="preserve">Se proyecta, para cada comuna y a los horizontes 2030 y 2035, la demografía (población, hogares y viviendas) y el uso de suelo (m² construidos por uso), junto con sus indicadores derivados (m²/habitante, densidad construida, demanda de suelo). El enfoque no entrega un pronóstico puntual: produce escenarios calibrados y validados con bandas de incertidumbre.</w:t>
      </w:r>
    </w:p>
    <w:p>
      <w:pPr>
        <w:pStyle w:val="Heading2"/>
      </w:pPr>
      <w:r>
        <w:t xml:space="preserve">1.1 Bloque demográfico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Población: </w:t>
      </w:r>
      <w:r>
        <w:t xml:space="preserve">lo correcto es re-anclar la proyección comunal del INE (2002–2035, método cohorte-componente) al Censo 2024. Ese archivo aún no está disponible, por lo que esta versión usa un fallback transparente: extrapola la tendencia comunal 2017→2024 amortiguada hacia el crecimiento nacional (50/50), con topes de −1,5% a +3,5% anual. Se marca como provisional.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Hogares: </w:t>
      </w:r>
      <w:r>
        <w:t xml:space="preserve">vía tamaño medio del hogar proyectado (tendencia decreciente de −0,7% anual, con piso de 2,2 personas por hogar). Hogares = Población ÷ tamaño del hogar.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Viviendas: </w:t>
      </w:r>
      <w:r>
        <w:t xml:space="preserve">Viviendas = Hogares × (viviendas/hogares observado en 2024), lo que incorpora la desocupación y la segunda vivienda. La demanda de vivienda nueva es la variación de viviendas entre períodos.</w:t>
      </w:r>
    </w:p>
    <w:p>
      <w:pPr>
        <w:pStyle w:val="Heading2"/>
      </w:pPr>
      <w:r>
        <w:t xml:space="preserve">1.2 Bloque de uso de suelo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Serie reconstruida: </w:t>
      </w:r>
      <w:r>
        <w:t xml:space="preserve">a partir del año de construcción de cada predio del Catastro SII se reconstruye el stock anual de m² por uso y comuna; el flujo de un año es el m² de los predios edificados ese 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Corrección de rezago: </w:t>
      </w:r>
      <w:r>
        <w:t xml:space="preserve">los años recientes están sub-registrados (los predios tardan en entrar al rol). Comparando los cortes semestrales del catastro (2023-S2 vs 2025-S2) se estimó la curva de madurez y se inflan los flujos recientes (factores: 2024 ×1,28; 2023 ×1,08; 2022 ×1,02).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Suelo residencial (coherente con la demografía): </w:t>
      </w:r>
      <w:r>
        <w:t xml:space="preserve">el m² habitacional se ata a la demanda de viviendas (Δviviendas × m²/vivienda), de modo que no puede divergir de la población.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Suelo no residencial (comercio, educación, salud, oficina, industria): </w:t>
      </w:r>
      <w:r>
        <w:t xml:space="preserve">se proyecta por flujo-medio reciente (promedio del flujo de los últimos 7 años, rezago-corregido), el método más robusto según la calibración.</w:t>
      </w:r>
    </w:p>
    <w:p>
      <w:pPr>
        <w:pStyle w:val="Heading2"/>
      </w:pPr>
      <w:r>
        <w:t xml:space="preserve">1.3 Escenarios</w:t>
      </w:r>
    </w:p>
    <w:p>
      <w:pPr>
        <w:spacing w:after="120" w:before="0"/>
      </w:pPr>
      <w:r>
        <w:t xml:space="preserve">Se entregan tres escenarios: Tendencial (flujo-medio y demografía media), Alto (+30% del flujo de suelo y demografía alta) y Consolidación (−30% del flujo y demografía baja). Los escenarios acotan el rango de incertidumbre junto con el error de calibración.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Calibración del modelo (backtesting)</w:t>
      </w:r>
    </w:p>
    <w:p>
      <w:pPr>
        <w:spacing w:after="120" w:before="0"/>
      </w:pPr>
      <w:r>
        <w:t xml:space="preserve">La calibración es temporal, no aleatoria: se entrena con datos hasta un año T0 y se predice T0+7, comparando contra el stock observado (que sí conocemos, hasta 2024). El error es MAPE = |predicho − observado| / observado. Se comparan dos métodos: CAGR (tasa de crecimiento compuesta) y flujo-medio (promedio del flujo reciente).</w:t>
      </w:r>
    </w:p>
    <w:p>
      <w:pPr>
        <w:pStyle w:val="Heading2"/>
      </w:pPr>
      <w:r>
        <w:t xml:space="preserve">2.1 Error promedio por ciudad (entrenar ≤2016, predecir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Ciudad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CAGR (MAPE)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Flujo-medio (MAPE)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Gran Concepción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27,4%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10,2%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Gran Santiago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20,5%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Gran Valparaíso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29,1%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7,4%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Antofagasta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10,5%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14,8%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Temuco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31,9%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12,1%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Serena-Coquimbo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22,3%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23,3%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Decisión: </w:t>
      </w:r>
      <w:r>
        <w:t xml:space="preserve">se adopta flujo-medio. El CAGR sobre-reacciona cuando un uso se acelera (extrapola la aceleración, llevando el error a 20–32%); el flujo-medio es más estable (8–15% en ciudades grandes), consistente con el prototipo (MAPE de aprox. 10% a 7 años).</w:t>
      </w:r>
    </w:p>
    <w:p>
      <w:pPr>
        <w:pStyle w:val="Heading2"/>
      </w:pPr>
      <w:r>
        <w:t xml:space="preserve">2.2 Error por uso (método flujo-medio, MAPE)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Ciudad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Habit.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Comercio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Educ.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Oficina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Industria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Gran Concepción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3,0%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11,3%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16,7%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17,4%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4,5%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Gran Santiago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11,4%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18,3%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13,3%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7,1%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Gran Valparaíso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4,6%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24,4%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6,1%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Antofagasta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4,1%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51,3%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10,5%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Temuco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3,2%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3,9%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45,7%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3,1%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16,8%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Serena-Coquimbo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2,3%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18,0%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3,0%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74,8%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5,4%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36,1%</w:t>
            </w:r>
          </w:p>
        </w:tc>
      </w:tr>
    </w:tbl>
    <w:p>
      <w:pPr>
        <w:spacing w:before="120"/>
      </w:pPr>
      <w:r>
        <w:rPr>
          <w:b/>
          <w:bCs/>
        </w:rPr>
        <w:t xml:space="preserve">Lectura: </w:t>
      </w:r>
      <w:r>
        <w:t xml:space="preserve">los usos grandes y estables (Habitacional, Educación) tienen error típicamente bajo el 5% a 7 años; Comercio, Oficina e Industria un error moderado (5–18%); y Salud es muy volátil (16–75%) porque un solo hospital mueve el total comunal. Para Salud se recomienda agrupar (pooling nacional) y trabajar con escenarios/bandas, no con un punto — es la principal mejora prevista para la siguiente fase.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Principales resultados — Gran Concepción</w:t>
      </w:r>
    </w:p>
    <w:p>
      <w:pPr>
        <w:pStyle w:val="Heading2"/>
      </w:pPr>
      <w:r>
        <w:t xml:space="preserve">3.1 Demografía (escenario tendencial)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2024→35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Población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1.025.448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1.062.407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1.094.806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+6,8%</w:t>
            </w:r>
          </w:p>
        </w:tc>
      </w:tr>
    </w:tbl>
    <w:p>
      <w:pPr>
        <w:spacing w:after="120" w:before="120"/>
      </w:pPr>
      <w:r>
        <w:t xml:space="preserve">La población del Gran Concepción crece de forma moderada (+6,8% a 2035 en el escenario tendencial). Recuérdese que esta cifra es provisional hasta incorporar la proyección INE.</w:t>
      </w:r>
    </w:p>
    <w:p>
      <w:pPr>
        <w:pStyle w:val="Heading2"/>
      </w:pPr>
      <w:r>
        <w:t xml:space="preserve">3.2 Uso de suelo — m² construidos por uso (escenario tendencial)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2024→35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26.181.394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28.294.429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30.196.097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+15,3%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3.512.334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4.206.153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4.784.331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+36,2%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Educación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1.731.803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2.133.758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2.468.722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+42,6%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431.357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537.698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626.314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+45,2%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899.847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987.240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1.060.066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+17,8%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3.111.716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4.021.971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4.780.516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+53,6%</w:t>
            </w:r>
          </w:p>
        </w:tc>
      </w:tr>
    </w:tbl>
    <w:p>
      <w:pPr>
        <w:pStyle w:val="Heading2"/>
      </w:pPr>
      <w:r>
        <w:t xml:space="preserve">3.3 Lectura y coherencia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suelo habitacional crece +15% mientras la población crece +6,8%: la ciudad acumula más m² por habitante (hogares más pequeños, segunda vivienda). Como está atado a la demanda de viviendas, no se dispara — es coherente con la demografía.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Industria (+54%) y Educación (+43%) crecen con fuerza: conviene revisar su sensibilidad a megaproyectos del período base, porque el flujo-medio reciente puede estar arrastrado por una o dos obras grandes. Los escenarios Alto/Consolidación (±30%) acotan ese rango.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Salud (+45%) debe leerse con cautela por su alta volatilidad de calibración (sección 2.2); su banda de incertidumbre es ancha.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Límites y advertencias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Demografía provisional (fallback). </w:t>
      </w:r>
      <w:r>
        <w:t xml:space="preserve">Falta la proyección INE por comuna; al incorporarla, población, hogares y viviendas deben recalcularse. Es el reemplazo prioritario antes de un uso oficial.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Solo dos cortes censales (2017 y 2024). </w:t>
      </w:r>
      <w:r>
        <w:t xml:space="preserve">La tendencia demográfica propia es débil; por eso se apoya en el 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Rezago de catastro. </w:t>
      </w:r>
      <w:r>
        <w:t xml:space="preserve">Los años recientes se corrigen con la curva de madurez, pero subsiste incertidumbre.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Quiebres no capturados. </w:t>
      </w:r>
      <w:r>
        <w:t xml:space="preserve">Cambios de Plan Regulador, shocks o grandes proyectos no se modelan salvo vía escenarios.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Uso efectivo (fiscal), no normativo. </w:t>
      </w:r>
      <w:r>
        <w:t xml:space="preserve">Las proyecciones son escenarios, no certezas.</w:t>
      </w:r>
    </w:p>
    <w:p>
      <w:pPr>
        <w:pBdr>
          <w:top w:val="single" w:color="CCCCCC" w:sz="4" w:space="6"/>
        </w:pBdr>
        <w:spacing w:before="200"/>
      </w:pPr>
      <w:r>
        <w:rPr>
          <w:i/>
          <w:iCs/>
          <w:color w:val="5B6B7B"/>
          <w:sz w:val="18"/>
          <w:szCs w:val="18"/>
        </w:rPr>
        <w:t xml:space="preserve">Fuente de datos: Censo INE 2017/2024 + Catastro de bienes raíces SII (stock reconstruido desde el año de construcción). Calibración por backtesting. Generado para la plataforma nacional de uso de suelo.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Tendencias 2030/2035 — provisional · </w:t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Medina González</dc:creator>
  <cp:lastModifiedBy>Un-named</cp:lastModifiedBy>
  <cp:revision>1</cp:revision>
  <dcterms:created xsi:type="dcterms:W3CDTF">2026-06-09T12:44:45.449Z</dcterms:created>
  <dcterms:modified xsi:type="dcterms:W3CDTF">2026-06-09T12:44:45.450Z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