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aps/>
          <w:color w:val="64748B"/>
          <w:sz w:val="20"/>
          <w:szCs w:val="20"/>
        </w:rPr>
        <w:t xml:space="preserve">DEVELOPMENT PLAN</w:t>
      </w:r>
    </w:p>
    <w:p>
      <w:pPr>
        <w:spacing w:before="0" w:after="80"/>
        <w:jc w:val="center"/>
      </w:pPr>
      <w:r>
        <w:rPr>
          <w:rFonts w:ascii="Arial" w:cs="Arial" w:eastAsia="Arial" w:hAnsi="Arial"/>
          <w:b/>
          <w:bCs/>
          <w:color w:val="0F172A"/>
          <w:sz w:val="56"/>
          <w:szCs w:val="56"/>
        </w:rPr>
        <w:t xml:space="preserve">LLM Token Pricing Platform</w:t>
      </w:r>
    </w:p>
    <w:p>
      <w:pPr>
        <w:spacing w:before="0" w:after="60"/>
        <w:jc w:val="center"/>
      </w:pPr>
      <w:r>
        <w:rPr>
          <w:rFonts w:ascii="Arial" w:cs="Arial" w:eastAsia="Arial" w:hAnsi="Arial"/>
          <w:color w:val="6366F1"/>
          <w:sz w:val="26"/>
          <w:szCs w:val="26"/>
        </w:rPr>
        <w:t xml:space="preserve">Phase-by-Phase Build Guide</w:t>
      </w:r>
    </w:p>
    <w:p>
      <w:pPr>
        <w:spacing w:before="0" w:after="480"/>
        <w:jc w:val="center"/>
      </w:pPr>
      <w:r>
        <w:rPr>
          <w:rFonts w:ascii="Arial" w:cs="Arial" w:eastAsia="Arial" w:hAnsi="Arial"/>
          <w:color w:val="64748B"/>
          <w:sz w:val="18"/>
          <w:szCs w:val="18"/>
        </w:rPr>
        <w:t xml:space="preserve">v1.0  .  February 2026  .  Romeo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6366F1"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Phase 1</w:t>
            </w:r>
          </w:p>
          <w:p>
            <w:pPr>
              <w:jc w:val="center"/>
            </w:pPr>
            <w:r>
              <w:rPr>
                <w:rFonts w:ascii="Arial" w:cs="Arial" w:eastAsia="Arial" w:hAnsi="Arial"/>
                <w:color w:val="FFFFFF"/>
                <w:sz w:val="15"/>
                <w:szCs w:val="15"/>
              </w:rPr>
              <w:t xml:space="preserve">Data Pipeline</w:t>
            </w:r>
          </w:p>
        </w:tc>
        <w:tc>
          <w:tcPr>
            <w:tcW w:type="dxa" w:w="1560"/>
            <w:tcBorders>
              <w:top w:val="none" w:color="FFFFFF" w:sz="0"/>
              <w:left w:val="none" w:color="FFFFFF" w:sz="0"/>
              <w:bottom w:val="none" w:color="FFFFFF" w:sz="0"/>
              <w:right w:val="none" w:color="FFFFFF" w:sz="0"/>
            </w:tcBorders>
            <w:shd w:fill="059669"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Phase 2</w:t>
            </w:r>
          </w:p>
          <w:p>
            <w:pPr>
              <w:jc w:val="center"/>
            </w:pPr>
            <w:r>
              <w:rPr>
                <w:rFonts w:ascii="Arial" w:cs="Arial" w:eastAsia="Arial" w:hAnsi="Arial"/>
                <w:color w:val="FFFFFF"/>
                <w:sz w:val="15"/>
                <w:szCs w:val="15"/>
              </w:rPr>
              <w:t xml:space="preserve">REST API</w:t>
            </w:r>
          </w:p>
        </w:tc>
        <w:tc>
          <w:tcPr>
            <w:tcW w:type="dxa" w:w="1560"/>
            <w:tcBorders>
              <w:top w:val="none" w:color="FFFFFF" w:sz="0"/>
              <w:left w:val="none" w:color="FFFFFF" w:sz="0"/>
              <w:bottom w:val="none" w:color="FFFFFF" w:sz="0"/>
              <w:right w:val="none" w:color="FFFFFF" w:sz="0"/>
            </w:tcBorders>
            <w:shd w:fill="D97706"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Phase 3</w:t>
            </w:r>
          </w:p>
          <w:p>
            <w:pPr>
              <w:jc w:val="center"/>
            </w:pPr>
            <w:r>
              <w:rPr>
                <w:rFonts w:ascii="Arial" w:cs="Arial" w:eastAsia="Arial" w:hAnsi="Arial"/>
                <w:color w:val="FFFFFF"/>
                <w:sz w:val="15"/>
                <w:szCs w:val="15"/>
              </w:rPr>
              <w:t xml:space="preserve">Frontend</w:t>
            </w:r>
          </w:p>
        </w:tc>
        <w:tc>
          <w:tcPr>
            <w:tcW w:type="dxa" w:w="1560"/>
            <w:tcBorders>
              <w:top w:val="none" w:color="FFFFFF" w:sz="0"/>
              <w:left w:val="none" w:color="FFFFFF" w:sz="0"/>
              <w:bottom w:val="none" w:color="FFFFFF" w:sz="0"/>
              <w:right w:val="none" w:color="FFFFFF" w:sz="0"/>
            </w:tcBorders>
            <w:shd w:fill="7C3AED"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Phase 4</w:t>
            </w:r>
          </w:p>
          <w:p>
            <w:pPr>
              <w:jc w:val="center"/>
            </w:pPr>
            <w:r>
              <w:rPr>
                <w:rFonts w:ascii="Arial" w:cs="Arial" w:eastAsia="Arial" w:hAnsi="Arial"/>
                <w:color w:val="FFFFFF"/>
                <w:sz w:val="15"/>
                <w:szCs w:val="15"/>
              </w:rPr>
              <w:t xml:space="preserve">Agent Layer</w:t>
            </w:r>
          </w:p>
        </w:tc>
        <w:tc>
          <w:tcPr>
            <w:tcW w:type="dxa" w:w="1560"/>
            <w:tcBorders>
              <w:top w:val="none" w:color="FFFFFF" w:sz="0"/>
              <w:left w:val="none" w:color="FFFFFF" w:sz="0"/>
              <w:bottom w:val="none" w:color="FFFFFF" w:sz="0"/>
              <w:right w:val="none" w:color="FFFFFF" w:sz="0"/>
            </w:tcBorders>
            <w:shd w:fill="0891B2"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Phase 5</w:t>
            </w:r>
          </w:p>
          <w:p>
            <w:pPr>
              <w:jc w:val="center"/>
            </w:pPr>
            <w:r>
              <w:rPr>
                <w:rFonts w:ascii="Arial" w:cs="Arial" w:eastAsia="Arial" w:hAnsi="Arial"/>
                <w:color w:val="FFFFFF"/>
                <w:sz w:val="15"/>
                <w:szCs w:val="15"/>
              </w:rPr>
              <w:t xml:space="preserve">Monetisation</w:t>
            </w:r>
          </w:p>
        </w:tc>
        <w:tc>
          <w:tcPr>
            <w:tcW w:type="dxa" w:w="1560"/>
            <w:tcBorders>
              <w:top w:val="none" w:color="FFFFFF" w:sz="0"/>
              <w:left w:val="none" w:color="FFFFFF" w:sz="0"/>
              <w:bottom w:val="none" w:color="FFFFFF" w:sz="0"/>
              <w:right w:val="none" w:color="FFFFFF" w:sz="0"/>
            </w:tcBorders>
            <w:shd w:fill="DC2626"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Phase 6</w:t>
            </w:r>
          </w:p>
          <w:p>
            <w:pPr>
              <w:jc w:val="center"/>
            </w:pPr>
            <w:r>
              <w:rPr>
                <w:rFonts w:ascii="Arial" w:cs="Arial" w:eastAsia="Arial" w:hAnsi="Arial"/>
                <w:color w:val="FFFFFF"/>
                <w:sz w:val="15"/>
                <w:szCs w:val="15"/>
              </w:rPr>
              <w:t xml:space="preserve">Launch</w:t>
            </w:r>
          </w:p>
        </w:tc>
      </w:tr>
    </w:tbl>
    <w:p>
      <w:r>
        <w:br w:type="page"/>
      </w:r>
    </w:p>
    <w:p>
      <w:pPr>
        <w:pStyle w:val="Heading1"/>
        <w:spacing w:before="480" w:after="160"/>
      </w:pPr>
      <w:r>
        <w:rPr>
          <w:rFonts w:ascii="Arial" w:cs="Arial" w:eastAsia="Arial" w:hAnsi="Arial"/>
          <w:b/>
          <w:bCs/>
          <w:color w:val="0F172A"/>
          <w:sz w:val="36"/>
          <w:szCs w:val="36"/>
        </w:rPr>
        <w:t xml:space="preserve">Overview</w:t>
      </w:r>
    </w:p>
    <w:p>
      <w:pPr>
        <w:spacing w:before="80" w:after="100"/>
      </w:pPr>
      <w:r>
        <w:rPr>
          <w:rFonts w:ascii="Arial" w:cs="Arial" w:eastAsia="Arial" w:hAnsi="Arial"/>
          <w:color w:val="0F172A"/>
          <w:sz w:val="20"/>
          <w:szCs w:val="20"/>
        </w:rPr>
        <w:t xml:space="preserve">This document breaks the LLM Token Pricing Platform into six sequential development phases. Each phase has a clear goal, a detailed task list with effort estimates, explicit exit criteria that must be satisfied before moving on, and a risk register.</w:t>
      </w:r>
    </w:p>
    <w:p>
      <w:pPr>
        <w:spacing w:before="80" w:after="100"/>
      </w:pPr>
      <w:r>
        <w:rPr>
          <w:rFonts w:ascii="Arial" w:cs="Arial" w:eastAsia="Arial" w:hAnsi="Arial"/>
          <w:color w:val="0F172A"/>
          <w:sz w:val="20"/>
          <w:szCs w:val="20"/>
        </w:rPr>
        <w:t xml:space="preserve">The total estimated timeline is 10 weeks for a solo developer working full time, or 14-16 weeks at part-time pace. Phases 1-3 deliver a shippable product. Phases 4-6 layer on the agent interface, monetisation, and production hardening.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360"/>
        <w:gridCol w:w="1600"/>
      </w:tblGrid>
      <w:tr>
        <w:trPr>
          <w:tblHeader/>
        </w:trPr>
        <w:tc>
          <w:tcPr>
            <w:tcW w:type="dxa" w:w="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2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Key Output</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Weeks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6366F1"/>
                <w:sz w:val="18"/>
                <w:szCs w:val="18"/>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Data Pipeline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Reliable multi-source ingestion + reconciliation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Live price data in PostgreSQL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Wk 1-2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59669"/>
                <w:sz w:val="18"/>
                <w:szCs w:val="18"/>
              </w:rPr>
              <w:t xml:space="preserv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REST API</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Versioned, authenticated API serving pricing data</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/v1/ endpoints live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Wk 3-4</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Frontend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Public-facing UI with comparison and history charts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Deployed Next.js site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Wk 5-6</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7C3AED"/>
                <w:sz w:val="18"/>
                <w:szCs w:val="18"/>
              </w:rPr>
              <w:t xml:space="preserv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 Layer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MCP server, SSE stream, /v1/ask, /v1/context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Agents can discover + query natively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Wk 7-8</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Monetisation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Lemon Squeezy billing + Unkey tier enforcement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Paying customers accepted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Wk 9</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Launch &amp; Harden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SEO, docs, load testing, observability</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Public launch ready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Wk 10</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366F1" w:sz="1"/>
              <w:left w:val="single" w:color="6366F1" w:sz="1"/>
              <w:bottom w:val="single" w:color="6366F1" w:sz="1"/>
              <w:right w:val="single" w:color="6366F1" w:sz="1"/>
            </w:tcBorders>
            <w:shd w:fill="6366F1"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1</w:t>
            </w:r>
          </w:p>
          <w:p>
            <w:pPr>
              <w:jc w:val="center"/>
            </w:pPr>
            <w:r>
              <w:rPr>
                <w:rFonts w:ascii="Arial" w:cs="Arial" w:eastAsia="Arial" w:hAnsi="Arial"/>
                <w:color w:val="FFFFFF"/>
                <w:sz w:val="14"/>
                <w:szCs w:val="14"/>
              </w:rPr>
              <w:t xml:space="preserve">Weeks 1-2</w:t>
            </w:r>
          </w:p>
        </w:tc>
        <w:tc>
          <w:tcPr>
            <w:tcW w:type="dxa" w:w="7960"/>
            <w:tcBorders>
              <w:top w:val="single" w:color="6366F1" w:sz="1"/>
              <w:left w:val="single" w:color="6366F1" w:sz="1"/>
              <w:bottom w:val="single" w:color="6366F1" w:sz="1"/>
              <w:right w:val="single" w:color="6366F1" w:sz="1"/>
            </w:tcBorders>
            <w:shd w:fill="EEF2FF"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Data Pipeline</w:t>
            </w:r>
          </w:p>
          <w:p>
            <w:pPr>
              <w:spacing w:before="0" w:after="0"/>
            </w:pPr>
            <w:r>
              <w:rPr>
                <w:rFonts w:ascii="Arial" w:cs="Arial" w:eastAsia="Arial" w:hAnsi="Arial"/>
                <w:color w:val="64748B"/>
                <w:sz w:val="18"/>
                <w:szCs w:val="18"/>
              </w:rPr>
              <w:t xml:space="preserve">Build the multi-source ingestion engine, reconciliation logic, and time-series storage. Everything downstream depends on this being solid.</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1, price data for 200+ models is being fetched from three independent sources on a schedule, diffed for discrepancies, stored as immutable timestamped records in PostgreSQL + TimescaleDB, and flagged for manual review when sources disagree. No UI, no API - just a reliable data foundation.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pPr>
              <w:jc w:val="center"/>
            </w:pPr>
            <w:r>
              <w:rPr>
                <w:rFonts w:ascii="Arial" w:cs="Arial" w:eastAsia="Arial" w:hAnsi="Arial"/>
                <w:b/>
                <w:bCs/>
                <w:color w:val="6366F1"/>
                <w:sz w:val="18"/>
                <w:szCs w:val="18"/>
              </w:rPr>
              <w:t xml:space="preserve">Why first</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Every other phase reads from this pipeline. Getting the reconciliation logic right before building anything on top of it prevents a whole class of data integrity bugs that are very hard to fix later.</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PostgreSQL + TimescaleDB on Railway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Design schema: models, prices, price_history, sources, review_queue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Database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and test all migrations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Database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OpenRouter /v1/models scraper worker (Go goroutine)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LiteLLM GitHub JSON puller</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provider doc scrapers for OpenAI, Anthropic, Google, Mistral, Amazon</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8h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Redis + asynq for job queue and cron scheduling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diff engine: compare incoming value vs stored value per model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reconciliation logic: 2-source agreement → publish, discrepancy → flag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review queue: flagged records surfaced with source attribution</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immutable price history record on every confirmed change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unit tests for reconciliation logic</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basic admin dashboard to view review queue (simple HTML, no framework)</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Verify data accuracy against provider docs manually for 20 models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All 3 scraper workers running on cron schedule without errors for 48 consecutive hours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Price data for at least 150 models stored in PostgreSQL with correct schema</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Reconciliation engine correctly flags a manually injected discrepancy in test data</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Price history table accumulates a new record on every confirmed price change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Review queue surfaces flagged records with source, old value, new value, and timestamp</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Unit test coverage on reconciliation logic is above 80%</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No data loss on Railway restart (persistence confirmed)</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Provider doc scraper breaks when page structure changes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Keep scraper logic thin; fall back to LiteLLM + manual for affected provider</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OpenRouter API rate limits scraper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exponential backoff; 6hr interval is well within their limits</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TimescaleDB extension unavailable on Railway tier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Test in week 1; fall back to partitioned plain Postgres tables if needed</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59669" w:sz="1"/>
              <w:left w:val="single" w:color="059669" w:sz="1"/>
              <w:bottom w:val="single" w:color="059669" w:sz="1"/>
              <w:right w:val="single" w:color="059669" w:sz="1"/>
            </w:tcBorders>
            <w:shd w:fill="059669"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2</w:t>
            </w:r>
          </w:p>
          <w:p>
            <w:pPr>
              <w:jc w:val="center"/>
            </w:pPr>
            <w:r>
              <w:rPr>
                <w:rFonts w:ascii="Arial" w:cs="Arial" w:eastAsia="Arial" w:hAnsi="Arial"/>
                <w:color w:val="FFFFFF"/>
                <w:sz w:val="14"/>
                <w:szCs w:val="14"/>
              </w:rPr>
              <w:t xml:space="preserve">Weeks 3-4</w:t>
            </w:r>
          </w:p>
        </w:tc>
        <w:tc>
          <w:tcPr>
            <w:tcW w:type="dxa" w:w="7960"/>
            <w:tcBorders>
              <w:top w:val="single" w:color="059669" w:sz="1"/>
              <w:left w:val="single" w:color="059669" w:sz="1"/>
              <w:bottom w:val="single" w:color="059669" w:sz="1"/>
              <w:right w:val="single" w:color="059669" w:sz="1"/>
            </w:tcBorders>
            <w:shd w:fill="ECFDF5"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REST API</w:t>
            </w:r>
          </w:p>
          <w:p>
            <w:pPr>
              <w:spacing w:before="0" w:after="0"/>
            </w:pPr>
            <w:r>
              <w:rPr>
                <w:rFonts w:ascii="Arial" w:cs="Arial" w:eastAsia="Arial" w:hAnsi="Arial"/>
                <w:color w:val="64748B"/>
                <w:sz w:val="18"/>
                <w:szCs w:val="18"/>
              </w:rPr>
              <w:t xml:space="preserve">Build and expose all /v1/ endpoints with authentication, rate limiting, and tier enforcement. This is the core monetisable product.</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2, all nine REST endpoints are live, authenticated via Unkey API keys, rate-limited per tier, and returning well-structured JSON with trust metadata. A developer can sign up, get a key, and query real pricing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jc w:val="center"/>
            </w:pPr>
            <w:r>
              <w:rPr>
                <w:rFonts w:ascii="Arial" w:cs="Arial" w:eastAsia="Arial" w:hAnsi="Arial"/>
                <w:b/>
                <w:bCs/>
                <w:color w:val="059669"/>
                <w:sz w:val="18"/>
                <w:szCs w:val="18"/>
              </w:rPr>
              <w:t xml:space="preserve">Key decision</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Build the API before the frontend. The frontend will consume the API like any other client - this forces clean separation and means the API is testable independently.</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Go + Fiber project structure with environment config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Create Unkey account, configure API namespace and key tiers (Free/Dev/Pro)</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Auth</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Unkey middleware for Fiber: validate key, extract tier, attach to context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Auth</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/v1/models with ?provider, ?modality, ?min_context filters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/v1/models/:id for single model detail</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/v1/models/:id/history with ?from and ?to filters (Dev+ tier gate)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/v1/compare?models= for up to 5 models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/v1/recommend with task/context/price filters (Dev+ tier gate)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/v1/providers for provider list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/v1/changes with ?since and ?provider filters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POST /v1/webhooks and DELETE /v1/webhooks/:id (Pro tier gate)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trust metadata fields to all responses: confirmed_at, source, confidence, age_hours, change_velocity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Redis response caching with appropriate TTLs per endpoint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Performance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RFC 7807 error response format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integration tests for all endpoints covering auth, tier gating, and filtering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Railway deployment pipeline with environment secrets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Load test key endpoints: target p99 &lt; 200ms under 100 concurrent requests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All 9 endpoints return correct data and correct HTTP status codes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Free tier key cannot access history, recommend, or webhook endpoints - returns 403</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Developer tier key can access all read endpoints but not webhooks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Pro tier key has full access including webhook registration</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Rate limiting enforced: Free tier returns 429 after 100 requests in a day</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All responses include confirmed_at, source, and confidence fields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p99 response time under 200ms for /v1/models with warm cache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Integration test suite passes with 0 failures</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Unkey adds latency to every request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Cache Unkey validation results in Redis with a 30s TTL - one Unkey call per key per 30s</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/v1/recommend logic is underspecified</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Start with simple cost-rank filter; iterate on matching logic based on user feedback</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Webhook delivery unreliable under load</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Deliver via asynq job with 3 retries and exponential backoff; log all delivery failures</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1"/>
              <w:left w:val="single" w:color="D97706" w:sz="1"/>
              <w:bottom w:val="single" w:color="D97706" w:sz="1"/>
              <w:right w:val="single" w:color="D97706" w:sz="1"/>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3</w:t>
            </w:r>
          </w:p>
          <w:p>
            <w:pPr>
              <w:jc w:val="center"/>
            </w:pPr>
            <w:r>
              <w:rPr>
                <w:rFonts w:ascii="Arial" w:cs="Arial" w:eastAsia="Arial" w:hAnsi="Arial"/>
                <w:color w:val="FFFFFF"/>
                <w:sz w:val="14"/>
                <w:szCs w:val="14"/>
              </w:rPr>
              <w:t xml:space="preserve">Weeks 5-6</w:t>
            </w:r>
          </w:p>
        </w:tc>
        <w:tc>
          <w:tcPr>
            <w:tcW w:type="dxa" w:w="7960"/>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Frontend</w:t>
            </w:r>
          </w:p>
          <w:p>
            <w:pPr>
              <w:spacing w:before="0" w:after="0"/>
            </w:pPr>
            <w:r>
              <w:rPr>
                <w:rFonts w:ascii="Arial" w:cs="Arial" w:eastAsia="Arial" w:hAnsi="Arial"/>
                <w:color w:val="64748B"/>
                <w:sz w:val="18"/>
                <w:szCs w:val="18"/>
              </w:rPr>
              <w:t xml:space="preserve">Build the public-facing Next.js site. This is the SEO surface, the top-of-funnel, and the trust signal that converts visitors into API subscribers.</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3, the public site is live with a filterable model comparison table, an interactive cost calculator, price history charts, and a model recommender UI. The site is server-side rendered for SEO and performs well on mobile.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jc w:val="center"/>
            </w:pPr>
            <w:r>
              <w:rPr>
                <w:rFonts w:ascii="Arial" w:cs="Arial" w:eastAsia="Arial" w:hAnsi="Arial"/>
                <w:b/>
                <w:bCs/>
                <w:color w:val="D97706"/>
                <w:sz w:val="18"/>
                <w:szCs w:val="18"/>
              </w:rPr>
              <w:t xml:space="preserve">Design principle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This is where you out-execute the competition. The existing tools are ugly and clunky. Invest real time in design here - it is the primary reason someone bookmarks the site and shares it.</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Next.js project with TypeScript, Tailwind, and app router</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API client layer for consuming /v1/ endpoints from Next.js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Design and implement main comparison table with SSR data fetching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filter controls: provider, modality, context window, price range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sort controls: input price, output price, total cost for given volume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inline cost calculator: token volume inputs → live monthly cost estimates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price history chart page per model using Tremor or Recharts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date range selector to history chart: 7d / 30d / 90d / 1y / all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compare mode: overlay up to 3 models on history chart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model recommender UI: guided form → ranked results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email alert signup for price change notifications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API key signup flow: plan selection → Lemon Squeezy checkout → Unkey key delivery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"last updated" timestamp per model with stale indicator if &gt; 24h</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meta tags, Open Graph, and structured data for SEO</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SEO</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Optimise Core Web Vitals: LCP, CLS, INP targets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Performance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Mobile responsive QA pass across breakpoints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Deploy to Railway / Vercel with production environment config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Comparison table loads and displays data for 150+ models with correct pricing</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Filters and sort controls work correctly and do not break on edge cases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Cost calculator updates live as token volume inputs change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Price history chart renders correctly for a model with at least 2 recorded price points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API key signup flow completes end-to-end: plan selected → payment → key in inbox</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Lighthouse SEO score above 90 on the homepage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Lighthouse performance score above 80 on the homepage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Site renders correctly on iPhone 14 and a mid-range Android device</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Price history charts look empty at launch (insufficient history data)</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Seed history with LiteLLM historical data + backfill from provider changelogs where available</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Lemon Squeezy checkout integration takes longer than estimated</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the checkout flow in Phase 5 if it blocks; ship Phase 3 with manual key delivery temporarily</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Core Web Vitals fail due to large data table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Use virtualised list rendering (react-virtual) for the comparison table</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C3AED" w:sz="1"/>
              <w:left w:val="single" w:color="7C3AED" w:sz="1"/>
              <w:bottom w:val="single" w:color="7C3AED" w:sz="1"/>
              <w:right w:val="single" w:color="7C3AED"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4</w:t>
            </w:r>
          </w:p>
          <w:p>
            <w:pPr>
              <w:jc w:val="center"/>
            </w:pPr>
            <w:r>
              <w:rPr>
                <w:rFonts w:ascii="Arial" w:cs="Arial" w:eastAsia="Arial" w:hAnsi="Arial"/>
                <w:color w:val="FFFFFF"/>
                <w:sz w:val="14"/>
                <w:szCs w:val="14"/>
              </w:rPr>
              <w:t xml:space="preserve">Weeks 7-8</w:t>
            </w:r>
          </w:p>
        </w:tc>
        <w:tc>
          <w:tcPr>
            <w:tcW w:type="dxa" w:w="7960"/>
            <w:tcBorders>
              <w:top w:val="single" w:color="7C3AED" w:sz="1"/>
              <w:left w:val="single" w:color="7C3AED" w:sz="1"/>
              <w:bottom w:val="single" w:color="7C3AED" w:sz="1"/>
              <w:right w:val="single" w:color="7C3AED" w:sz="1"/>
            </w:tcBorders>
            <w:shd w:fill="F5F3FF"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Agent Layer</w:t>
            </w:r>
          </w:p>
          <w:p>
            <w:pPr>
              <w:spacing w:before="0" w:after="0"/>
            </w:pPr>
            <w:r>
              <w:rPr>
                <w:rFonts w:ascii="Arial" w:cs="Arial" w:eastAsia="Arial" w:hAnsi="Arial"/>
                <w:color w:val="64748B"/>
                <w:sz w:val="18"/>
                <w:szCs w:val="18"/>
              </w:rPr>
              <w:t xml:space="preserve">Build the MCP server, SSE stream, natural language query endpoint, context snapshot, and all discovery endpoints. Make the platform agent-native.</w:t>
            </w:r>
          </w:p>
        </w:tc>
      </w:tr>
    </w:tbl>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4, an AI agent can discover the platform, authenticate, and query pricing data entirely autonomously - via MCP tools natively in Claude Code or Cursor, via the SSE stream for real-time updates, or via the /v1/ask endpoint with a plain English question. This is the differentiating layer no competitor has.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5F3FF" w:val="clear"/>
            <w:tcMar>
              <w:top w:type="dxa" w:w="100"/>
              <w:left w:type="dxa" w:w="140"/>
              <w:bottom w:type="dxa" w:w="100"/>
              <w:right w:type="dxa" w:w="140"/>
            </w:tcMar>
          </w:tcPr>
          <w:p>
            <w:pPr>
              <w:jc w:val="center"/>
            </w:pPr>
            <w:r>
              <w:rPr>
                <w:rFonts w:ascii="Arial" w:cs="Arial" w:eastAsia="Arial" w:hAnsi="Arial"/>
                <w:b/>
                <w:bCs/>
                <w:color w:val="7C3AED"/>
                <w:sz w:val="18"/>
                <w:szCs w:val="18"/>
              </w:rPr>
              <w:t xml:space="preserve">Priority order</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Build MCP server first - it has the highest visibility with developer tooling users. Then /v1/context (most useful for agent workflows), then /v1/ask, then SSE, then discovery endpoints.</w:t>
            </w:r>
          </w:p>
        </w:tc>
      </w:tr>
    </w:tbl>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MCP server package in TypeScript using the MCP SDK</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get_cheapest_model MCP tool with task/context/modality params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compare_models MCP tool (up to 5 models)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get_price_history MCP tool with date range support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get_recent_changes MCP tool</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get_context_snapshot MCP tool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subscribe_to_changes MCP tool (Pro tier, calls /v1/webhooks)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Unkey API key auth to MCP server (key passed via MCP config)</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Publish MCP package to npm as @llmpricing/mcp</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/v1/context endpoint: ~2k token markdown/JSON snapshot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Tune /v1/context token budget - verify output fits in 2k tokens with top=20</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POST /v1/ask: NL input → infer params → query → return ranked_models + plain_english_summary + inferred_params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Implement GET /v1/stream/changes as SSE endpoint with ?provider and ?models filters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SSE reconnection via Last-Event-ID and 30s heartbeat keep-alive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Serve GET /openapi.json - generate from Fiber route annotations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Discovery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Serve GET /.well-known/ai-plugin.json manifest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Discovery</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and serve GET /llms.txt in plain prose format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Discovery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change_velocity field to all price responses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end-to-end test: agent queries MCP → gets valid structured response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 MCP server in Claude Code and Cursor with a real API key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bl>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MCP server installable via npx @llmpricing/mcp and all 6 tools return valid data</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MCP server tested and working inside Claude Code with a Developer tier key</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/v1/context response is under 2,100 tokens for the default top=20 payload (verified with tiktoken)</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/v1/ask correctly interprets at least 5 different natural language pricing questions in manual testing</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/v1/stream/changes emits an event within 60 seconds of a manually triggered price update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SSE stream reconnects correctly after a simulated server restart using Last-Event-ID</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/openapi.json validates against OpenAPI 3.1 schema without errors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All 5 trust metadata fields present on every API response</w:t>
            </w:r>
          </w:p>
        </w:tc>
      </w:tr>
    </w:tbl>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/v1/ask NL inference is unreliable for ambiguous queries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Return inferred_params in every response so callers can detect bad interpretations; log all queries for iteration</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MCP SDK API surface changes between now and publish</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Pin the MCP SDK version; monitor MCP spec changelog</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SSE connections cause Railway memory pressure at scale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Limit concurrent SSE connections per key; implement connection pooling</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/v1/context token count exceeds 2k for large model sets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Hard-cap at top=20 by default; add ?top= param so callers can request fewer</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891B2" w:sz="1"/>
              <w:left w:val="single" w:color="0891B2" w:sz="1"/>
              <w:bottom w:val="single" w:color="0891B2" w:sz="1"/>
              <w:right w:val="single" w:color="0891B2" w:sz="1"/>
            </w:tcBorders>
            <w:shd w:fill="0891B2"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5</w:t>
            </w:r>
          </w:p>
          <w:p>
            <w:pPr>
              <w:jc w:val="center"/>
            </w:pPr>
            <w:r>
              <w:rPr>
                <w:rFonts w:ascii="Arial" w:cs="Arial" w:eastAsia="Arial" w:hAnsi="Arial"/>
                <w:color w:val="FFFFFF"/>
                <w:sz w:val="14"/>
                <w:szCs w:val="14"/>
              </w:rPr>
              <w:t xml:space="preserve">Week 9</w:t>
            </w:r>
          </w:p>
        </w:tc>
        <w:tc>
          <w:tcPr>
            <w:tcW w:type="dxa" w:w="7960"/>
            <w:tcBorders>
              <w:top w:val="single" w:color="0891B2" w:sz="1"/>
              <w:left w:val="single" w:color="0891B2" w:sz="1"/>
              <w:bottom w:val="single" w:color="0891B2" w:sz="1"/>
              <w:right w:val="single" w:color="0891B2" w:sz="1"/>
            </w:tcBorders>
            <w:shd w:fill="ECFEFF"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Monetisation</w:t>
            </w:r>
          </w:p>
          <w:p>
            <w:pPr>
              <w:spacing w:before="0" w:after="0"/>
            </w:pPr>
            <w:r>
              <w:rPr>
                <w:rFonts w:ascii="Arial" w:cs="Arial" w:eastAsia="Arial" w:hAnsi="Arial"/>
                <w:color w:val="64748B"/>
                <w:sz w:val="18"/>
                <w:szCs w:val="18"/>
              </w:rPr>
              <w:t xml:space="preserve">Wire up Lemon Squeezy billing, Unkey tier management, and the full subscription lifecycle. Turn the platform into a business.</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5, a user can land on the site, choose a plan, pay in USD via Lemon Squeezy, receive a Unkey API key scoped to their tier, and immediately start making authenticated API calls. Plan upgrades and cancellations work end-to-end with automatic key tier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CFEFF" w:val="clear"/>
            <w:tcMar>
              <w:top w:type="dxa" w:w="100"/>
              <w:left w:type="dxa" w:w="140"/>
              <w:bottom w:type="dxa" w:w="100"/>
              <w:right w:type="dxa" w:w="140"/>
            </w:tcMar>
          </w:tcPr>
          <w:p>
            <w:pPr>
              <w:jc w:val="center"/>
            </w:pPr>
            <w:r>
              <w:rPr>
                <w:rFonts w:ascii="Arial" w:cs="Arial" w:eastAsia="Arial" w:hAnsi="Arial"/>
                <w:b/>
                <w:bCs/>
                <w:color w:val="0891B2"/>
                <w:sz w:val="18"/>
                <w:szCs w:val="18"/>
              </w:rPr>
              <w:t xml:space="preserve">Why Lemon Squeezy</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As a Merchant of Record they handle tax, compliance, and global USD billing - no need to register a US entity or deal with VAT. The fee (~5% + payment processing) is worth the complexity they absorb.</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Create Lemon Squeezy account, configure 3 products: Free, Developer ($15), Pro ($50)</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Billing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Lemon Squeezy webhook endpoint in Fiber to receive subscription events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On subscription_created: call Unkey to issue key with correct tier metadata</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On subscription_updated (upgrade/downgrade): call Unkey to update key tier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On subscription_cancelled: call Unkey to disable key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On subscription_expired: call Unkey to revoke key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key delivery flow: email user their Unkey API key post-purchase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Build account dashboard page: show current tier, API key, usage stats from Unkey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key rotation button: revoke old key, issue new one, email new key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Add upgrade/downgrade flow from dashboard using Lemon Squeezy customer portal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Free tier: self-serve signup creates a Unkey key with Free tier limits, no payment required</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 full subscription lifecycle: signup → pay → key → use API → upgrade → cancel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Verify Lemon Squeezy webhook signatures to prevent spoofing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Security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1"/>
              <w:bottom w:val="single" w:color="0891B2" w:sz="1"/>
              <w:right w:val="single" w:color="0891B2" w:sz="1"/>
            </w:tcBorders>
            <w:shd w:fill="0891B2"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End-to-end purchase flow works: land → select Developer plan → pay → receive key via email</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API key immediately works for Developer tier endpoints after purchase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Upgrade from Developer to Pro correctly unlocks webhook endpoints within 60 seconds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Cancelled subscription disables API key at end of billing period</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Free tier signup issues a key with correct rate limits without requiring payment</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Account dashboard shows correct tier, key prefix, and usage remaining</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Lemon Squeezy webhook signature verification rejects tampered payloads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Tested with a real card payment in Lemon Squeezy test mode</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Lemon Squeezy webhook delivery is unreliable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C262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idempotent webhook handler; store all events; build a reconciliation job that checks Lemon Squeezy API for subscription state nightly</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Key email delivery goes to spam</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Use a transactional email provider (Resend or Postmark); set up SPF/DKIM</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Unkey key issuance fails after successful payment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C262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Wrap in a retry queue; if Unkey is down, queue the key creation and alert; never leave a paid user without a key for more than 5 minutes</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C2626" w:sz="1"/>
              <w:left w:val="single" w:color="DC2626" w:sz="1"/>
              <w:bottom w:val="single" w:color="DC2626" w:sz="1"/>
              <w:right w:val="single" w:color="DC2626" w:sz="1"/>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6</w:t>
            </w:r>
          </w:p>
          <w:p>
            <w:pPr>
              <w:jc w:val="center"/>
            </w:pPr>
            <w:r>
              <w:rPr>
                <w:rFonts w:ascii="Arial" w:cs="Arial" w:eastAsia="Arial" w:hAnsi="Arial"/>
                <w:color w:val="FFFFFF"/>
                <w:sz w:val="14"/>
                <w:szCs w:val="14"/>
              </w:rPr>
              <w:t xml:space="preserve">Week 10</w:t>
            </w:r>
          </w:p>
        </w:tc>
        <w:tc>
          <w:tcPr>
            <w:tcW w:type="dxa" w:w="7960"/>
            <w:tcBorders>
              <w:top w:val="single" w:color="DC2626" w:sz="1"/>
              <w:left w:val="single" w:color="DC2626" w:sz="1"/>
              <w:bottom w:val="single" w:color="DC2626" w:sz="1"/>
              <w:right w:val="single" w:color="DC2626" w:sz="1"/>
            </w:tcBorders>
            <w:shd w:fill="FEF2F2"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Launch &amp; Harden</w:t>
            </w:r>
          </w:p>
          <w:p>
            <w:pPr>
              <w:spacing w:before="0" w:after="0"/>
            </w:pPr>
            <w:r>
              <w:rPr>
                <w:rFonts w:ascii="Arial" w:cs="Arial" w:eastAsia="Arial" w:hAnsi="Arial"/>
                <w:color w:val="64748B"/>
                <w:sz w:val="18"/>
                <w:szCs w:val="18"/>
              </w:rPr>
              <w:t xml:space="preserve">Production hardening, public API documentation, SEO content push, observability, and the public launch. Ship it.</w:t>
            </w:r>
          </w:p>
        </w:tc>
      </w:tr>
    </w:tbl>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6, the platform is publicly announced, the API documentation is live, the system has been load tested, observability is in place, and the first organic users are signing up. This phase is about polish, confidence, and distribution - not new features.</w:t>
      </w:r>
    </w:p>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and publish full API reference documentation site (Mintlify or Docusaurus)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Docs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/llms.txt in final form with all endpoints, auth instructions, and examples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Docs</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Publish @llmpricing/mcp to npm with README, usage examples, and screenshot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Distribution</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Submit MCP server to Claude Code and Cursor MCP directories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Distribution</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launch blog post: "We built the only reliable LLM pricing API"</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Content</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Write 3 SEO-targeted pages: "cheapest LLM API", "GPT-4o vs Claude pricing", "LLM cost calculator"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SEO</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Plausible or Fathom for privacy-friendly analytics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Observability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Sentry for error tracking on both API and frontend</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Observability</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UptimeRobot or Better Uptime for endpoint monitoring + alerting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Observability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Load test: simulate 500 concurrent API users, verify p99 stays under 200ms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Load test: simulate 50 concurrent SSE connections, verify no memory leak</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Security audit: check all endpoints for auth bypass, injection, and rate limit gaps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Security</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Post on Hacker News (Show HN), X/Twitter, and relevant dev Discord servers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Launch</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Email 20 developers personally - offer free Pro trial for first month</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Launch</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Set up support email and response process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Operations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val="false"/>
                <w:bCs w:val="false"/>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Document runbook: how to handle review queue, deploy, rollback, debug</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Operations</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val="false"/>
                <w:bCs w:val="false"/>
                <w:color w:val="0F172A"/>
                <w:sz w:val="18"/>
                <w:szCs w:val="18"/>
              </w:rPr>
              <w:t xml:space="preserve">3h</w:t>
            </w:r>
          </w:p>
        </w:tc>
      </w:tr>
    </w:tbl>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API reference documentation is live and covers all 9 endpoints with working examples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MCP server is published on npm and listed in at least one MCP directory</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Load test passes: p99 under 200ms at 500 concurrent API users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No critical security issues found in audit (medium issues documented and scheduled)</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Sentry receiving errors, UptimeRobot monitoring all key endpoints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Plausible tracking live traffic on the frontend</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At least 3 SEO-targeted pages indexed by Google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Launch post published and shared - at least 10 signups from launch day</w:t>
            </w:r>
          </w:p>
        </w:tc>
      </w:tr>
    </w:tbl>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HN launch gets no traction</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Timing matters - post Tuesday-Thursday morning US time; have a genuine insight in the headline, not just "I built a thing"</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 price data error is publicly called out at launch</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C2626"/>
                <w:sz w:val="18"/>
                <w:szCs w:val="18"/>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Do a full manual accuracy audit of top 30 models before launch; publish accuracy methodology to get ahead of it</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Railway infrastructure cannot handle launch traffic spike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Pre-scale Railway instances before launch; have a scale-up runbook ready to execute in &lt; 5 minutes</w:t>
            </w:r>
          </w:p>
        </w:tc>
      </w:tr>
    </w:tbl>
    <w:p>
      <w:pPr>
        <w:pBdr>
          <w:bottom w:val="single" w:color="E2E8F0" w:sz="2" w:space="1"/>
        </w:pBdr>
        <w:spacing w:before="200" w:after="200"/>
      </w:pPr>
      <w:r>
        <w:t xml:space="preserve"/>
      </w:r>
    </w:p>
    <w:p>
      <w:pPr>
        <w:pStyle w:val="Heading1"/>
        <w:spacing w:before="480" w:after="160"/>
      </w:pPr>
      <w:r>
        <w:rPr>
          <w:rFonts w:ascii="Arial" w:cs="Arial" w:eastAsia="Arial" w:hAnsi="Arial"/>
          <w:b/>
          <w:bCs/>
          <w:color w:val="0F172A"/>
          <w:sz w:val="36"/>
          <w:szCs w:val="36"/>
        </w:rPr>
        <w:t xml:space="preserve">Post-Launch Backlog</w:t>
      </w:r>
    </w:p>
    <w:p>
      <w:pPr>
        <w:spacing w:before="80" w:after="100"/>
      </w:pPr>
      <w:r>
        <w:rPr>
          <w:rFonts w:ascii="Arial" w:cs="Arial" w:eastAsia="Arial" w:hAnsi="Arial"/>
          <w:color w:val="0F172A"/>
          <w:sz w:val="20"/>
          <w:szCs w:val="20"/>
        </w:rPr>
        <w:t xml:space="preserve">The following items are explicitly out of scope for the 10-week plan but should be prioritised based on user feedback after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Benchmark data integration (MMLU, HumanEval)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Enables capability-weighted cost comparisons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Price change RSS / Atom feed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Zero-integration alert option for teams using RSS readers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Batch API endpoint for bulk cost calculations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Useful for teams estimating spend across many models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Data export / historical dataset licensing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Revenue from the history moat at scale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Team accounts on Pro tier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Multiple devs sharing one subscription with separate keys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Sponsored model listings (post 5k MAU)</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Ad revenue without compromising data integrity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Provider uptime tracking alongside pricing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Natural extension - agents care about availability too</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Cost anomaly detection alerts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Alert when a model price changes by more than X% in a week</w:t>
            </w:r>
          </w:p>
        </w:tc>
      </w:tr>
    </w:tbl>
    <w:p>
      <w:pPr>
        <w:spacing w:before="240" w:after="0"/>
      </w:pPr>
      <w:r>
        <w:t xml:space="preserve"/>
      </w:r>
    </w:p>
    <w:p>
      <w:pPr>
        <w:pBdr>
          <w:bottom w:val="single" w:color="E2E8F0" w:sz="2" w:space="1"/>
        </w:pBdr>
        <w:spacing w:before="200" w:after="200"/>
      </w:pPr>
      <w:r>
        <w:t xml:space="preserve"/>
      </w:r>
    </w:p>
    <w:p>
      <w:pPr>
        <w:spacing w:before="160" w:after="0"/>
        <w:jc w:val="center"/>
      </w:pPr>
      <w:r>
        <w:rPr>
          <w:rFonts w:ascii="Arial" w:cs="Arial" w:eastAsia="Arial" w:hAnsi="Arial"/>
          <w:i/>
          <w:iCs/>
          <w:color w:val="64748B"/>
          <w:sz w:val="18"/>
          <w:szCs w:val="18"/>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LLM Token Pricing Platform  .  Development Plan v1.0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F17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366F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2026-02-18T00:42:57.774Z</dcterms:created>
  <dcterms:modified xsi:type="dcterms:W3CDTF">2026-02-18T00:42:57.775Z</dcterms:modified>
</cp:coreProperties>
</file>

<file path=docProps/custom.xml><?xml version="1.0" encoding="utf-8"?>
<Properties xmlns="http://schemas.openxmlformats.org/officeDocument/2006/custom-properties" xmlns:vt="http://schemas.openxmlformats.org/officeDocument/2006/docPropsVTypes"/>
</file>