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80"/>
        <w:jc w:val="center"/>
      </w:pPr>
      <w:r>
        <w:rPr>
          <w:rFonts w:ascii="Arial" w:cs="Arial" w:eastAsia="Arial" w:hAnsi="Arial"/>
          <w:b/>
          <w:bCs/>
          <w:color w:val="64748B"/>
          <w:sz w:val="20"/>
          <w:szCs w:val="20"/>
        </w:rPr>
        <w:t xml:space="preserve">ADDENDUM TO PRD v1.0</w:t>
      </w:r>
    </w:p>
    <w:p>
      <w:pPr>
        <w:spacing w:before="0" w:after="80"/>
        <w:jc w:val="center"/>
      </w:pPr>
      <w:r>
        <w:rPr>
          <w:rFonts w:ascii="Arial" w:cs="Arial" w:eastAsia="Arial" w:hAnsi="Arial"/>
          <w:b/>
          <w:bCs/>
          <w:color w:val="0F172A"/>
          <w:sz w:val="52"/>
          <w:szCs w:val="52"/>
        </w:rPr>
        <w:t xml:space="preserve">Section 12: Agent Interface</w:t>
      </w:r>
    </w:p>
    <w:p>
      <w:pPr>
        <w:spacing w:before="0" w:after="480"/>
        <w:jc w:val="center"/>
      </w:pPr>
      <w:r>
        <w:rPr>
          <w:rFonts w:ascii="Arial" w:cs="Arial" w:eastAsia="Arial" w:hAnsi="Arial"/>
          <w:color w:val="6366F1"/>
          <w:sz w:val="24"/>
          <w:szCs w:val="24"/>
        </w:rPr>
        <w:t xml:space="preserve">Making LLM pricing data natively accessible to AI agents</w:t>
      </w:r>
    </w:p>
    <w:p>
      <w:r>
        <w:br w:type="page"/>
      </w:r>
    </w:p>
    <w:p>
      <w:pPr>
        <w:pStyle w:val="Heading1"/>
        <w:spacing w:before="480" w:after="160"/>
      </w:pPr>
      <w:r>
        <w:rPr>
          <w:rFonts w:ascii="Arial" w:cs="Arial" w:eastAsia="Arial" w:hAnsi="Arial"/>
          <w:b/>
          <w:bCs/>
          <w:color w:val="0F172A"/>
          <w:sz w:val="36"/>
          <w:szCs w:val="36"/>
        </w:rPr>
        <w:t xml:space="preserve">12. Agent Interface</w:t>
      </w:r>
    </w:p>
    <w:p>
      <w:pPr>
        <w:spacing w:before="80" w:after="120"/>
      </w:pPr>
      <w:r>
        <w:rPr>
          <w:rFonts w:ascii="Arial" w:cs="Arial" w:eastAsia="Arial" w:hAnsi="Arial"/>
          <w:color w:val="0F172A"/>
          <w:sz w:val="20"/>
          <w:szCs w:val="20"/>
        </w:rPr>
        <w:t xml:space="preserve">AI agents are a first-class consumer of this platform. Every feature in this section is designed so that an autonomous agent — running inside Claude Code, Cursor, or a custom agentic workflow — can discover, query, and act on pricing data without human assistance.</w:t>
      </w:r>
    </w:p>
    <w:p>
      <w:pPr>
        <w:spacing w:before="80" w:after="120"/>
      </w:pPr>
      <w:r>
        <w:rPr>
          <w:rFonts w:ascii="Arial" w:cs="Arial" w:eastAsia="Arial" w:hAnsi="Arial"/>
          <w:color w:val="0F172A"/>
          <w:sz w:val="20"/>
          <w:szCs w:val="20"/>
        </w:rPr>
        <w:t xml:space="preserve">This is a meaningful differentiator: no existing LLM pricing tool treats agents as a primary audience. Most serve a JSON blob and call it an API. This platform goes further by handling discoverability, trust signals, context efficiency, and real-time push — the four things agents actually need.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b/>
                <w:bCs/>
                <w:color w:val="6366F1"/>
                <w:sz w:val="18"/>
                <w:szCs w:val="18"/>
              </w:rPr>
              <w:t xml:space="preserve">Design principle</w:t>
            </w:r>
          </w:p>
        </w:tc>
        <w:tc>
          <w:tcPr>
            <w:tcW w:type="dxa" w:w="7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Every agent-facing feature must work without a human in the loop. If an agent cannot discover, authenticate, query, and interpret a response autonomously, the feature is incomplete.</w:t>
            </w:r>
          </w:p>
        </w:tc>
      </w:tr>
    </w:tbl>
    <w:p>
      <w:pPr>
        <w:pBdr>
          <w:bottom w:val="single" w:color="E2E8F0" w:sz="2" w:space="1"/>
        </w:pBdr>
        <w:spacing w:before="240" w:after="240"/>
      </w:pPr>
      <w:r>
        <w:t xml:space="preserve"/>
      </w:r>
    </w:p>
    <w:p>
      <w:pPr>
        <w:pStyle w:val="Heading2"/>
        <w:pBdr>
          <w:bottom w:val="single" w:color="6366F1" w:sz="4" w:space="4"/>
        </w:pBdr>
        <w:spacing w:before="360" w:after="120"/>
      </w:pPr>
      <w:r>
        <w:rPr>
          <w:rFonts w:ascii="Arial" w:cs="Arial" w:eastAsia="Arial" w:hAnsi="Arial"/>
          <w:b/>
          <w:bCs/>
          <w:color w:val="0F172A"/>
          <w:sz w:val="26"/>
          <w:szCs w:val="26"/>
        </w:rPr>
        <w:t xml:space="preserve">12.1 MCP Server</w:t>
      </w:r>
    </w:p>
    <w:p>
      <w:pPr>
        <w:spacing w:before="80" w:after="120"/>
      </w:pPr>
      <w:r>
        <w:rPr>
          <w:rFonts w:ascii="Arial" w:cs="Arial" w:eastAsia="Arial" w:hAnsi="Arial"/>
          <w:color w:val="0F172A"/>
          <w:sz w:val="20"/>
          <w:szCs w:val="20"/>
        </w:rPr>
        <w:t xml:space="preserve">An MCP (Model Context Protocol) server makes pricing data natively available inside any MCP-compatible agent host — Claude Code, Cursor, Windsurf, Cline, and others. Users configure the server once and all pricing tools become available inside their AI environment without any additional integration work.</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b/>
                <w:bCs/>
                <w:color w:val="6366F1"/>
                <w:sz w:val="18"/>
                <w:szCs w:val="18"/>
              </w:rPr>
              <w:t xml:space="preserve">Install</w:t>
            </w:r>
          </w:p>
        </w:tc>
        <w:tc>
          <w:tcPr>
            <w:tcW w:type="dxa" w:w="7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npx @llmpricing/mcp  OR  add {"llmpricing": {"command": "npx", "args": ["@llmpricing/mcp"]}} to mcp.json</w:t>
            </w:r>
          </w:p>
        </w:tc>
      </w:tr>
    </w:tbl>
    <w:p>
      <w:pPr>
        <w:spacing w:before="80" w:after="0"/>
      </w:pPr>
      <w:r>
        <w:t xml:space="preserve"/>
      </w:r>
    </w:p>
    <w:p>
      <w:pPr>
        <w:spacing w:before="80" w:after="120"/>
      </w:pPr>
      <w:r>
        <w:rPr>
          <w:rFonts w:ascii="Arial" w:cs="Arial" w:eastAsia="Arial" w:hAnsi="Arial"/>
          <w:color w:val="0F172A"/>
          <w:sz w:val="20"/>
          <w:szCs w:val="20"/>
        </w:rPr>
        <w:t xml:space="preserve">Exposed MCP tools:</w:t>
      </w:r>
    </w:p>
    <w:p>
      <w:pPr>
        <w:pStyle w:val="ListParagraph"/>
        <w:numPr>
          <w:ilvl w:val="0"/>
          <w:numId w:val="2"/>
        </w:numPr>
        <w:spacing w:before="40" w:after="40"/>
      </w:pPr>
      <w:r>
        <w:rPr>
          <w:rFonts w:ascii="Arial" w:cs="Arial" w:eastAsia="Arial" w:hAnsi="Arial"/>
          <w:color w:val="0F172A"/>
          <w:sz w:val="20"/>
          <w:szCs w:val="20"/>
        </w:rPr>
        <w:t xml:space="preserve">get_cheapest_model — returns lowest-cost model matching constraints: task, min_context, modality, max_input_price</w:t>
      </w:r>
    </w:p>
    <w:p>
      <w:pPr>
        <w:pStyle w:val="ListParagraph"/>
        <w:numPr>
          <w:ilvl w:val="0"/>
          <w:numId w:val="2"/>
        </w:numPr>
        <w:spacing w:before="40" w:after="40"/>
      </w:pPr>
      <w:r>
        <w:rPr>
          <w:rFonts w:ascii="Arial" w:cs="Arial" w:eastAsia="Arial" w:hAnsi="Arial"/>
          <w:color w:val="0F172A"/>
          <w:sz w:val="20"/>
          <w:szCs w:val="20"/>
        </w:rPr>
        <w:t xml:space="preserve">compare_models — structured side-by-side comparison of up to 5 models by cost, context window, and capability tags</w:t>
      </w:r>
    </w:p>
    <w:p>
      <w:pPr>
        <w:pStyle w:val="ListParagraph"/>
        <w:numPr>
          <w:ilvl w:val="0"/>
          <w:numId w:val="2"/>
        </w:numPr>
        <w:spacing w:before="40" w:after="40"/>
      </w:pPr>
      <w:r>
        <w:rPr>
          <w:rFonts w:ascii="Arial" w:cs="Arial" w:eastAsia="Arial" w:hAnsi="Arial"/>
          <w:color w:val="0F172A"/>
          <w:sz w:val="20"/>
          <w:szCs w:val="20"/>
        </w:rPr>
        <w:t xml:space="preserve">get_price_history — full price timeline for a model with optional from/to date filters</w:t>
      </w:r>
    </w:p>
    <w:p>
      <w:pPr>
        <w:pStyle w:val="ListParagraph"/>
        <w:numPr>
          <w:ilvl w:val="0"/>
          <w:numId w:val="2"/>
        </w:numPr>
        <w:spacing w:before="40" w:after="40"/>
      </w:pPr>
      <w:r>
        <w:rPr>
          <w:rFonts w:ascii="Arial" w:cs="Arial" w:eastAsia="Arial" w:hAnsi="Arial"/>
          <w:color w:val="0F172A"/>
          <w:sz w:val="20"/>
          <w:szCs w:val="20"/>
        </w:rPr>
        <w:t xml:space="preserve">get_recent_changes — price change events across all tracked models since a given timestamp</w:t>
      </w:r>
    </w:p>
    <w:p>
      <w:pPr>
        <w:pStyle w:val="ListParagraph"/>
        <w:numPr>
          <w:ilvl w:val="0"/>
          <w:numId w:val="2"/>
        </w:numPr>
        <w:spacing w:before="40" w:after="40"/>
      </w:pPr>
      <w:r>
        <w:rPr>
          <w:rFonts w:ascii="Arial" w:cs="Arial" w:eastAsia="Arial" w:hAnsi="Arial"/>
          <w:color w:val="0F172A"/>
          <w:sz w:val="20"/>
          <w:szCs w:val="20"/>
        </w:rPr>
        <w:t xml:space="preserve">get_context_snapshot — compact pricing landscape summary optimised for system prompt injection</w:t>
      </w:r>
    </w:p>
    <w:p>
      <w:pPr>
        <w:pStyle w:val="ListParagraph"/>
        <w:numPr>
          <w:ilvl w:val="0"/>
          <w:numId w:val="2"/>
        </w:numPr>
        <w:spacing w:before="40" w:after="40"/>
      </w:pPr>
      <w:r>
        <w:rPr>
          <w:rFonts w:ascii="Arial" w:cs="Arial" w:eastAsia="Arial" w:hAnsi="Arial"/>
          <w:color w:val="0F172A"/>
          <w:sz w:val="20"/>
          <w:szCs w:val="20"/>
        </w:rPr>
        <w:t xml:space="preserve">subscribe_to_changes — registers a webhook for real-time notifications on model price changes (Pro tier)</w:t>
      </w:r>
    </w:p>
    <w:p>
      <w:pPr>
        <w:spacing w:before="80" w:after="0"/>
      </w:pPr>
      <w:r>
        <w:t xml:space="preserve"/>
      </w:r>
    </w:p>
    <w:p>
      <w:pPr>
        <w:spacing w:before="80" w:after="120"/>
      </w:pPr>
      <w:r>
        <w:rPr>
          <w:rFonts w:ascii="Arial" w:cs="Arial" w:eastAsia="Arial" w:hAnsi="Arial"/>
          <w:color w:val="0F172A"/>
          <w:sz w:val="20"/>
          <w:szCs w:val="20"/>
        </w:rPr>
        <w:t xml:space="preserve">Every tool response includes source attribution, a confirmed_at timestamp, and a confidence field so the agent can reason about data freshness before acting on it. Authentication uses the same API key system as the REST API — the key is set once in the MCP config.</w:t>
      </w:r>
    </w:p>
    <w:p>
      <w:pPr>
        <w:pBdr>
          <w:bottom w:val="single" w:color="E2E8F0" w:sz="2" w:space="1"/>
        </w:pBdr>
        <w:spacing w:before="240" w:after="240"/>
      </w:pPr>
      <w:r>
        <w:t xml:space="preserve"/>
      </w:r>
    </w:p>
    <w:p>
      <w:pPr>
        <w:pStyle w:val="Heading2"/>
        <w:pBdr>
          <w:bottom w:val="single" w:color="6366F1" w:sz="4" w:space="4"/>
        </w:pBdr>
        <w:spacing w:before="360" w:after="120"/>
      </w:pPr>
      <w:r>
        <w:rPr>
          <w:rFonts w:ascii="Arial" w:cs="Arial" w:eastAsia="Arial" w:hAnsi="Arial"/>
          <w:b/>
          <w:bCs/>
          <w:color w:val="0F172A"/>
          <w:sz w:val="26"/>
          <w:szCs w:val="26"/>
        </w:rPr>
        <w:t xml:space="preserve">12.2 OpenAPI Spec + Auto-Discovery</w:t>
      </w:r>
    </w:p>
    <w:p>
      <w:pPr>
        <w:spacing w:before="80" w:after="120"/>
      </w:pPr>
      <w:r>
        <w:rPr>
          <w:rFonts w:ascii="Arial" w:cs="Arial" w:eastAsia="Arial" w:hAnsi="Arial"/>
          <w:color w:val="0F172A"/>
          <w:sz w:val="20"/>
          <w:szCs w:val="20"/>
        </w:rPr>
        <w:t xml:space="preserve">A machine-readable OpenAPI 3.1 spec is served at /openapi.json. This allows any agent with HTTP tool-use capabilities to discover and call all endpoints without hardcoded knowledge of the API shape. Description fields in the spec are written specifically for LLM consumption — concise, unambiguous, and example-rich.</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rPr>
          <w:tblHeader/>
        </w:trPr>
        <w:tc>
          <w:tcPr>
            <w:tcW w:type="dxa" w:w="2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1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55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6366F1"/>
                <w:sz w:val="18"/>
                <w:szCs w:val="18"/>
              </w:rPr>
              <w:t xml:space="preserve">/openapi.json</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6A34A"/>
                <w:sz w:val="18"/>
                <w:szCs w:val="18"/>
              </w:rPr>
              <w:t xml:space="preserve">GET</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Full OpenAPI 3.1 specification. Description fields are optimised for LLM parsing.</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6366F1"/>
                <w:sz w:val="18"/>
                <w:szCs w:val="18"/>
              </w:rPr>
              <w:t xml:space="preserve">/.well-known/ai-plugin.json</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6A34A"/>
                <w:sz w:val="18"/>
                <w:szCs w:val="18"/>
              </w:rPr>
              <w:t xml:space="preserve">GET</w:t>
            </w:r>
          </w:p>
        </w:tc>
        <w:tc>
          <w:tcPr>
            <w:tcW w:type="dxa" w:w="5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Plugin manifest for agent discovery: name, description, auth scheme, API base URL.</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6366F1"/>
                <w:sz w:val="18"/>
                <w:szCs w:val="18"/>
              </w:rPr>
              <w:t xml:space="preserve">/llms.txt</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6A34A"/>
                <w:sz w:val="18"/>
                <w:szCs w:val="18"/>
              </w:rPr>
              <w:t xml:space="preserve">GET</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Plain-text API description optimised for inclusion in an LLM system prompt.</w:t>
            </w:r>
          </w:p>
        </w:tc>
      </w:tr>
    </w:tbl>
    <w:p>
      <w:pPr>
        <w:spacing w:before="80" w:after="0"/>
      </w:pPr>
      <w:r>
        <w:t xml:space="preserve"/>
      </w:r>
    </w:p>
    <w:p>
      <w:pPr>
        <w:spacing w:before="80" w:after="120"/>
      </w:pPr>
      <w:r>
        <w:rPr>
          <w:rFonts w:ascii="Arial" w:cs="Arial" w:eastAsia="Arial" w:hAnsi="Arial"/>
          <w:color w:val="0F172A"/>
          <w:sz w:val="20"/>
          <w:szCs w:val="20"/>
        </w:rPr>
        <w:t xml:space="preserve">The ai-plugin.json manifest follows the emerging standard used by ChatGPT plugins and adopted broadly by agent frameworks. An agent discovering the domain for the first time can fetch this file to bootstrap its understanding of the available capabilities and authentication requirements.</w:t>
      </w:r>
    </w:p>
    <w:p>
      <w:pPr>
        <w:pBdr>
          <w:bottom w:val="single" w:color="E2E8F0" w:sz="2" w:space="1"/>
        </w:pBdr>
        <w:spacing w:before="240" w:after="240"/>
      </w:pPr>
      <w:r>
        <w:t xml:space="preserve"/>
      </w:r>
    </w:p>
    <w:p>
      <w:pPr>
        <w:pStyle w:val="Heading2"/>
        <w:pBdr>
          <w:bottom w:val="single" w:color="6366F1" w:sz="4" w:space="4"/>
        </w:pBdr>
        <w:spacing w:before="360" w:after="120"/>
      </w:pPr>
      <w:r>
        <w:rPr>
          <w:rFonts w:ascii="Arial" w:cs="Arial" w:eastAsia="Arial" w:hAnsi="Arial"/>
          <w:b/>
          <w:bCs/>
          <w:color w:val="0F172A"/>
          <w:sz w:val="26"/>
          <w:szCs w:val="26"/>
        </w:rPr>
        <w:t xml:space="preserve">12.3 Natural Language Query Endpoint</w:t>
      </w:r>
    </w:p>
    <w:p>
      <w:pPr>
        <w:spacing w:before="80" w:after="120"/>
      </w:pPr>
      <w:r>
        <w:rPr>
          <w:rFonts w:ascii="Arial" w:cs="Arial" w:eastAsia="Arial" w:hAnsi="Arial"/>
          <w:color w:val="0F172A"/>
          <w:sz w:val="20"/>
          <w:szCs w:val="20"/>
        </w:rPr>
        <w:t xml:space="preserve">Agents often operate from natural language goals rather than structured parameters. This endpoint accepts a plain English question, infers the appropriate query parameters, executes against the pricing data, and returns a structured response the agent can act on directly.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rPr>
          <w:tblHeader/>
        </w:trPr>
        <w:tc>
          <w:tcPr>
            <w:tcW w:type="dxa" w:w="2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1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55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6366F1"/>
                <w:sz w:val="18"/>
                <w:szCs w:val="18"/>
              </w:rPr>
              <w:t xml:space="preserve">/v1/ask</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D97706"/>
                <w:sz w:val="18"/>
                <w:szCs w:val="18"/>
              </w:rPr>
              <w:t xml:space="preserve">POST</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Body: { "q": "cheapest model with 128k context good for coding" }. Returns ranked models, reasoning, and the inferred query parameters for auditability.</w:t>
            </w:r>
          </w:p>
        </w:tc>
      </w:tr>
    </w:tbl>
    <w:p>
      <w:pPr>
        <w:spacing w:before="80" w:after="0"/>
      </w:pPr>
      <w:r>
        <w:t xml:space="preserve"/>
      </w:r>
    </w:p>
    <w:p>
      <w:pPr>
        <w:spacing w:before="80" w:after="120"/>
      </w:pPr>
      <w:r>
        <w:rPr>
          <w:rFonts w:ascii="Arial" w:cs="Arial" w:eastAsia="Arial" w:hAnsi="Arial"/>
          <w:color w:val="0F172A"/>
          <w:sz w:val="20"/>
          <w:szCs w:val="20"/>
        </w:rPr>
        <w:t xml:space="preserve">The response includes three components: ranked_models — the structured list of matching models with pricing; plain_english_summary — a one-paragraph explanation the agent can relay directly to a user; and inferred_params — the structured query the system derived from the natural language input, so the caller can verify the interpretation was correct.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b/>
                <w:bCs/>
                <w:color w:val="6366F1"/>
                <w:sz w:val="18"/>
                <w:szCs w:val="18"/>
              </w:rPr>
              <w:t xml:space="preserve">Auditability</w:t>
            </w:r>
          </w:p>
        </w:tc>
        <w:tc>
          <w:tcPr>
            <w:tcW w:type="dxa" w:w="7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inferred_params is included in every /v1/ask response so agents and developers can detect misinterpretations and refine the query if needed.</w:t>
            </w:r>
          </w:p>
        </w:tc>
      </w:tr>
    </w:tbl>
    <w:p>
      <w:pPr>
        <w:pBdr>
          <w:bottom w:val="single" w:color="E2E8F0" w:sz="2" w:space="1"/>
        </w:pBdr>
        <w:spacing w:before="240" w:after="240"/>
      </w:pPr>
      <w:r>
        <w:t xml:space="preserve"/>
      </w:r>
    </w:p>
    <w:p>
      <w:pPr>
        <w:pStyle w:val="Heading2"/>
        <w:pBdr>
          <w:bottom w:val="single" w:color="6366F1" w:sz="4" w:space="4"/>
        </w:pBdr>
        <w:spacing w:before="360" w:after="120"/>
      </w:pPr>
      <w:r>
        <w:rPr>
          <w:rFonts w:ascii="Arial" w:cs="Arial" w:eastAsia="Arial" w:hAnsi="Arial"/>
          <w:b/>
          <w:bCs/>
          <w:color w:val="0F172A"/>
          <w:sz w:val="26"/>
          <w:szCs w:val="26"/>
        </w:rPr>
        <w:t xml:space="preserve">12.4 Context Snapshot Endpoint</w:t>
      </w:r>
    </w:p>
    <w:p>
      <w:pPr>
        <w:spacing w:before="80" w:after="120"/>
      </w:pPr>
      <w:r>
        <w:rPr>
          <w:rFonts w:ascii="Arial" w:cs="Arial" w:eastAsia="Arial" w:hAnsi="Arial"/>
          <w:color w:val="0F172A"/>
          <w:sz w:val="20"/>
          <w:szCs w:val="20"/>
        </w:rPr>
        <w:t xml:space="preserve">Agents have finite context windows. Rather than making multiple API calls to build a picture of the pricing landscape, this endpoint returns a single pre-summarized snapshot designed for direct injection into a system prompt or agent context block.</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rPr>
          <w:tblHeader/>
        </w:trPr>
        <w:tc>
          <w:tcPr>
            <w:tcW w:type="dxa" w:w="2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1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55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6366F1"/>
                <w:sz w:val="18"/>
                <w:szCs w:val="18"/>
              </w:rPr>
              <w:t xml:space="preserve">/v1/context</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6A34A"/>
                <w:sz w:val="18"/>
                <w:szCs w:val="18"/>
              </w:rPr>
              <w:t xml:space="preserve">GET</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Compact pricing landscape snapshot. Params: ?format=markdown|json, ?top=N (default 20), ?task=, ?provider=, ?modality=</w:t>
            </w:r>
          </w:p>
        </w:tc>
      </w:tr>
    </w:tbl>
    <w:p>
      <w:pPr>
        <w:spacing w:before="80" w:after="0"/>
      </w:pPr>
      <w:r>
        <w:t xml:space="preserve"/>
      </w:r>
    </w:p>
    <w:p>
      <w:pPr>
        <w:spacing w:before="80" w:after="120"/>
      </w:pPr>
      <w:r>
        <w:rPr>
          <w:rFonts w:ascii="Arial" w:cs="Arial" w:eastAsia="Arial" w:hAnsi="Arial"/>
          <w:color w:val="0F172A"/>
          <w:sz w:val="20"/>
          <w:szCs w:val="20"/>
        </w:rPr>
        <w:t xml:space="preserve">The default response is tuned to approximately 2,000 tokens — safe for most system prompts without significant context pressure. An agent building a cost-aware LLM router fetches this endpoint at startup, injects it into its system prompt, and makes all subsequent routing decisions without further API calls until the cache TTL expires.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b/>
                <w:bCs/>
                <w:color w:val="6366F1"/>
                <w:sz w:val="18"/>
                <w:szCs w:val="18"/>
              </w:rPr>
              <w:t xml:space="preserve">Cache TTL</w:t>
            </w:r>
          </w:p>
        </w:tc>
        <w:tc>
          <w:tcPr>
            <w:tcW w:type="dxa" w:w="7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The /v1/context response carries a Cache-Control header with a 1-hour TTL. Agents should respect this and avoid re-fetching more frequently than the TTL allows.</w:t>
            </w:r>
          </w:p>
        </w:tc>
      </w:tr>
    </w:tbl>
    <w:p>
      <w:pPr>
        <w:pBdr>
          <w:bottom w:val="single" w:color="E2E8F0" w:sz="2" w:space="1"/>
        </w:pBdr>
        <w:spacing w:before="240" w:after="240"/>
      </w:pPr>
      <w:r>
        <w:t xml:space="preserve"/>
      </w:r>
    </w:p>
    <w:p>
      <w:pPr>
        <w:pStyle w:val="Heading2"/>
        <w:pBdr>
          <w:bottom w:val="single" w:color="6366F1" w:sz="4" w:space="4"/>
        </w:pBdr>
        <w:spacing w:before="360" w:after="120"/>
      </w:pPr>
      <w:r>
        <w:rPr>
          <w:rFonts w:ascii="Arial" w:cs="Arial" w:eastAsia="Arial" w:hAnsi="Arial"/>
          <w:b/>
          <w:bCs/>
          <w:color w:val="0F172A"/>
          <w:sz w:val="26"/>
          <w:szCs w:val="26"/>
        </w:rPr>
        <w:t xml:space="preserve">12.5 Streaming Changes (SSE)</w:t>
      </w:r>
    </w:p>
    <w:p>
      <w:pPr>
        <w:spacing w:before="80" w:after="120"/>
      </w:pPr>
      <w:r>
        <w:rPr>
          <w:rFonts w:ascii="Arial" w:cs="Arial" w:eastAsia="Arial" w:hAnsi="Arial"/>
          <w:color w:val="0F172A"/>
          <w:sz w:val="20"/>
          <w:szCs w:val="20"/>
        </w:rPr>
        <w:t xml:space="preserve">Agents running long-lived workflows need push, not poll. The SSE endpoint holds an open HTTP connection and emits a structured JSON event every time a price change is confirmed by the reconciliation engine.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rPr>
          <w:tblHeader/>
        </w:trPr>
        <w:tc>
          <w:tcPr>
            <w:tcW w:type="dxa" w:w="2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1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55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6366F1"/>
                <w:sz w:val="18"/>
                <w:szCs w:val="18"/>
              </w:rPr>
              <w:t xml:space="preserve">/v1/stream/changes</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6A34A"/>
                <w:sz w:val="18"/>
                <w:szCs w:val="18"/>
              </w:rPr>
              <w:t xml:space="preserve">GET</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SSE stream of confirmed price change events. Params: ?provider=, ?models= for filtering. Developer+ tier.</w:t>
            </w:r>
          </w:p>
        </w:tc>
      </w:tr>
    </w:tbl>
    <w:p>
      <w:pPr>
        <w:spacing w:before="80" w:after="0"/>
      </w:pPr>
      <w:r>
        <w:t xml:space="preserve"/>
      </w:r>
    </w:p>
    <w:p>
      <w:pPr>
        <w:spacing w:before="80" w:after="120"/>
      </w:pPr>
      <w:r>
        <w:rPr>
          <w:rFonts w:ascii="Arial" w:cs="Arial" w:eastAsia="Arial" w:hAnsi="Arial"/>
          <w:color w:val="0F172A"/>
          <w:sz w:val="20"/>
          <w:szCs w:val="20"/>
        </w:rPr>
        <w:t xml:space="preserve">Each event payload contains: model_id, provider, old_price, new_price, percent_change, source (which data source confirmed it), and confirmed_at. An agent subscribed to this stream can automatically update its internal routing weights, trigger a budget alert, or notify a user — all without polling.</w:t>
      </w:r>
    </w:p>
    <w:p>
      <w:pPr>
        <w:spacing w:before="80" w:after="0"/>
      </w:pPr>
      <w:r>
        <w:t xml:space="preserve"/>
      </w:r>
    </w:p>
    <w:p>
      <w:pPr>
        <w:pStyle w:val="ListParagraph"/>
        <w:numPr>
          <w:ilvl w:val="0"/>
          <w:numId w:val="2"/>
        </w:numPr>
        <w:spacing w:before="40" w:after="40"/>
      </w:pPr>
      <w:r>
        <w:rPr>
          <w:rFonts w:ascii="Arial" w:cs="Arial" w:eastAsia="Arial" w:hAnsi="Arial"/>
          <w:color w:val="0F172A"/>
          <w:sz w:val="20"/>
          <w:szCs w:val="20"/>
        </w:rPr>
        <w:t xml:space="preserve">Reconnection: the stream uses standard SSE Last-Event-ID so agents can reconnect and resume from where they left off after a disconnect</w:t>
      </w:r>
    </w:p>
    <w:p>
      <w:pPr>
        <w:pStyle w:val="ListParagraph"/>
        <w:numPr>
          <w:ilvl w:val="0"/>
          <w:numId w:val="2"/>
        </w:numPr>
        <w:spacing w:before="40" w:after="40"/>
      </w:pPr>
      <w:r>
        <w:rPr>
          <w:rFonts w:ascii="Arial" w:cs="Arial" w:eastAsia="Arial" w:hAnsi="Arial"/>
          <w:color w:val="0F172A"/>
          <w:sz w:val="20"/>
          <w:szCs w:val="20"/>
        </w:rPr>
        <w:t xml:space="preserve">Heartbeat: a keep-alive comment is sent every 30 seconds to prevent proxy timeouts</w:t>
      </w:r>
    </w:p>
    <w:p>
      <w:pPr>
        <w:pStyle w:val="ListParagraph"/>
        <w:numPr>
          <w:ilvl w:val="0"/>
          <w:numId w:val="2"/>
        </w:numPr>
        <w:spacing w:before="40" w:after="40"/>
      </w:pPr>
      <w:r>
        <w:rPr>
          <w:rFonts w:ascii="Arial" w:cs="Arial" w:eastAsia="Arial" w:hAnsi="Arial"/>
          <w:color w:val="0F172A"/>
          <w:sz w:val="20"/>
          <w:szCs w:val="20"/>
        </w:rPr>
        <w:t xml:space="preserve">Backpressure: agents that cannot consume events fast enough receive a 429 with a Retry-After header</w:t>
      </w:r>
    </w:p>
    <w:p>
      <w:pPr>
        <w:pBdr>
          <w:bottom w:val="single" w:color="E2E8F0" w:sz="2" w:space="1"/>
        </w:pBdr>
        <w:spacing w:before="240" w:after="240"/>
      </w:pPr>
      <w:r>
        <w:t xml:space="preserve"/>
      </w:r>
    </w:p>
    <w:p>
      <w:pPr>
        <w:pStyle w:val="Heading2"/>
        <w:pBdr>
          <w:bottom w:val="single" w:color="6366F1" w:sz="4" w:space="4"/>
        </w:pBdr>
        <w:spacing w:before="360" w:after="120"/>
      </w:pPr>
      <w:r>
        <w:rPr>
          <w:rFonts w:ascii="Arial" w:cs="Arial" w:eastAsia="Arial" w:hAnsi="Arial"/>
          <w:b/>
          <w:bCs/>
          <w:color w:val="0F172A"/>
          <w:sz w:val="26"/>
          <w:szCs w:val="26"/>
        </w:rPr>
        <w:t xml:space="preserve">12.6 Trust and Confidence Signals</w:t>
      </w:r>
    </w:p>
    <w:p>
      <w:pPr>
        <w:spacing w:before="80" w:after="120"/>
      </w:pPr>
      <w:r>
        <w:rPr>
          <w:rFonts w:ascii="Arial" w:cs="Arial" w:eastAsia="Arial" w:hAnsi="Arial"/>
          <w:color w:val="0F172A"/>
          <w:sz w:val="20"/>
          <w:szCs w:val="20"/>
        </w:rPr>
        <w:t xml:space="preserve">Agents cannot phone a human to verify a number. The API therefore exposes machine-readable trust metadata on every price record, giving agents the information they need to reason about reliability before acting.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9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6366F1"/>
                <w:sz w:val="18"/>
                <w:szCs w:val="18"/>
              </w:rPr>
              <w:t xml:space="preserve">confirmed_at</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ISO timestamp of the last time this value was verified by the reconciliation engine.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6366F1"/>
                <w:sz w:val="18"/>
                <w:szCs w:val="18"/>
              </w:rPr>
              <w:t xml:space="preserve">source</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Which source confirmed the value: openrouter | litellm | provider_doc | manual.</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6366F1"/>
                <w:sz w:val="18"/>
                <w:szCs w:val="18"/>
              </w:rPr>
              <w:t xml:space="preserve">confidence</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high | medium | low. High = 2+ sources agree. Medium = single source. Low = discrepancy flagged.</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6366F1"/>
                <w:sz w:val="18"/>
                <w:szCs w:val="18"/>
              </w:rPr>
              <w:t xml:space="preserve">age_hours</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Hours since confirmed_at. Agents use this to decide whether to trust the value or re-query.</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6366F1"/>
                <w:sz w:val="18"/>
                <w:szCs w:val="18"/>
              </w:rPr>
              <w:t xml:space="preserve">change_velocity</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How frequently this model price has changed historically. Helps agents set polling frequency.</w:t>
            </w:r>
          </w:p>
        </w:tc>
      </w:tr>
    </w:tbl>
    <w:p>
      <w:pPr>
        <w:spacing w:before="80" w:after="0"/>
      </w:pPr>
      <w:r>
        <w:t xml:space="preserve"/>
      </w:r>
    </w:p>
    <w:p>
      <w:pPr>
        <w:spacing w:before="80" w:after="120"/>
      </w:pPr>
      <w:r>
        <w:rPr>
          <w:rFonts w:ascii="Arial" w:cs="Arial" w:eastAsia="Arial" w:hAnsi="Arial"/>
          <w:color w:val="0F172A"/>
          <w:sz w:val="20"/>
          <w:szCs w:val="20"/>
        </w:rPr>
        <w:t xml:space="preserve">A well-behaved agent consumer should: refuse to act on a low confidence value for high-stakes decisions; re-query after age_hours exceeds a threshold relevant to its task; and use change_velocity to decide whether to subscribe to the SSE stream for a given model.</w:t>
      </w:r>
    </w:p>
    <w:p>
      <w:pPr>
        <w:pBdr>
          <w:bottom w:val="single" w:color="E2E8F0" w:sz="2" w:space="1"/>
        </w:pBdr>
        <w:spacing w:before="240" w:after="240"/>
      </w:pPr>
      <w:r>
        <w:t xml:space="preserve"/>
      </w:r>
    </w:p>
    <w:p>
      <w:pPr>
        <w:pStyle w:val="Heading2"/>
        <w:pBdr>
          <w:bottom w:val="single" w:color="6366F1" w:sz="4" w:space="4"/>
        </w:pBdr>
        <w:spacing w:before="360" w:after="120"/>
      </w:pPr>
      <w:r>
        <w:rPr>
          <w:rFonts w:ascii="Arial" w:cs="Arial" w:eastAsia="Arial" w:hAnsi="Arial"/>
          <w:b/>
          <w:bCs/>
          <w:color w:val="0F172A"/>
          <w:sz w:val="26"/>
          <w:szCs w:val="26"/>
        </w:rPr>
        <w:t xml:space="preserve">12.7 llms.txt</w:t>
      </w:r>
    </w:p>
    <w:p>
      <w:pPr>
        <w:spacing w:before="80" w:after="120"/>
      </w:pPr>
      <w:r>
        <w:rPr>
          <w:rFonts w:ascii="Arial" w:cs="Arial" w:eastAsia="Arial" w:hAnsi="Arial"/>
          <w:color w:val="0F172A"/>
          <w:sz w:val="20"/>
          <w:szCs w:val="20"/>
        </w:rPr>
        <w:t xml:space="preserve">A plain-text file served at /llms.txt describes the entire API in a format designed to be read by LLMs. It covers what the platform does, what endpoints exist, how to authenticate, example queries, and the data schema — written as terse, unambiguous prose rather than formal spec language.</w:t>
      </w:r>
    </w:p>
    <w:p>
      <w:pPr>
        <w:spacing w:before="80" w:after="120"/>
      </w:pPr>
      <w:r>
        <w:rPr>
          <w:rFonts w:ascii="Arial" w:cs="Arial" w:eastAsia="Arial" w:hAnsi="Arial"/>
          <w:color w:val="0F172A"/>
          <w:sz w:val="20"/>
          <w:szCs w:val="20"/>
        </w:rPr>
        <w:t xml:space="preserve">An agent that discovers the domain for the first time can fetch /llms.txt and have enough context to make correct API calls without parsing OpenAPI. It is the AI-readable equivalent of robots.txt and follows the emerging convention proposed by fast.ai.</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b/>
                <w:bCs/>
                <w:color w:val="6366F1"/>
                <w:sz w:val="18"/>
                <w:szCs w:val="18"/>
              </w:rPr>
              <w:t xml:space="preserve">Convention</w:t>
            </w:r>
          </w:p>
        </w:tc>
        <w:tc>
          <w:tcPr>
            <w:tcW w:type="dxa" w:w="7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llms.txt is a single plain-text file. No markdown, no JSON, no schema — just clear prose a language model can parse and act on immediately.</w:t>
            </w:r>
          </w:p>
        </w:tc>
      </w:tr>
    </w:tbl>
    <w:p>
      <w:pPr>
        <w:pBdr>
          <w:bottom w:val="single" w:color="E2E8F0" w:sz="2" w:space="1"/>
        </w:pBdr>
        <w:spacing w:before="240" w:after="240"/>
      </w:pPr>
      <w:r>
        <w:t xml:space="preserve"/>
      </w:r>
    </w:p>
    <w:p>
      <w:pPr>
        <w:pStyle w:val="Heading2"/>
        <w:pBdr>
          <w:bottom w:val="single" w:color="6366F1" w:sz="4" w:space="4"/>
        </w:pBdr>
        <w:spacing w:before="360" w:after="120"/>
      </w:pPr>
      <w:r>
        <w:rPr>
          <w:rFonts w:ascii="Arial" w:cs="Arial" w:eastAsia="Arial" w:hAnsi="Arial"/>
          <w:b/>
          <w:bCs/>
          <w:color w:val="0F172A"/>
          <w:sz w:val="26"/>
          <w:szCs w:val="26"/>
        </w:rPr>
        <w:t xml:space="preserve">12.8 Agent-Tier Mapping</w:t>
      </w:r>
    </w:p>
    <w:p>
      <w:pPr>
        <w:spacing w:before="80" w:after="120"/>
      </w:pPr>
      <w:r>
        <w:rPr>
          <w:rFonts w:ascii="Arial" w:cs="Arial" w:eastAsia="Arial" w:hAnsi="Arial"/>
          <w:color w:val="0F172A"/>
          <w:sz w:val="20"/>
          <w:szCs w:val="20"/>
        </w:rPr>
        <w:t xml:space="preserve">Agent consumers have different usage patterns from human developers: burst call volumes, 24/7 uptime, and hard latency requirements. The existing tier structure accommodates this with the following agent-specific guidance: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20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Agent Use Case</w:t>
            </w:r>
          </w:p>
        </w:tc>
        <w:tc>
          <w:tcPr>
            <w:tcW w:type="dxa" w:w="55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6366F1"/>
                <w:sz w:val="18"/>
                <w:szCs w:val="18"/>
              </w:rPr>
              <w:t xml:space="preserve">Free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Dev / testing</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100 req/day is sufficient for testing agent integrations. MCP server access requires a key.</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6366F1"/>
                <w:sz w:val="18"/>
                <w:szCs w:val="18"/>
              </w:rPr>
              <w:t xml:space="preserve">Developer ($15/mo)</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Single agent, production</w:t>
            </w:r>
          </w:p>
        </w:tc>
        <w:tc>
          <w:tcPr>
            <w:tcW w:type="dxa" w:w="5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10,000 req/day covers most production single-agent deployments. SSE stream and /v1/ask included.</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6366F1"/>
                <w:sz w:val="18"/>
                <w:szCs w:val="18"/>
              </w:rPr>
              <w:t xml:space="preserve">Pro ($50/mo)</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Multi-agent / platforms</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Unlimited requests, webhooks, SLA. Recommended for platforms building agent products on top of this API.</w:t>
            </w:r>
          </w:p>
        </w:tc>
      </w:tr>
    </w:tbl>
    <w:p>
      <w:pPr>
        <w:spacing w:before="240" w:after="0"/>
      </w:pPr>
      <w:r>
        <w:t xml:space="preserve"/>
      </w:r>
    </w:p>
    <w:p>
      <w:pPr>
        <w:pBdr>
          <w:bottom w:val="single" w:color="E2E8F0" w:sz="2" w:space="1"/>
        </w:pBdr>
        <w:spacing w:before="240" w:after="240"/>
      </w:pPr>
      <w:r>
        <w:t xml:space="preserve"/>
      </w:r>
    </w:p>
    <w:p>
      <w:pPr>
        <w:spacing w:before="160" w:after="0"/>
        <w:jc w:val="center"/>
      </w:pPr>
      <w:r>
        <w:rPr>
          <w:rFonts w:ascii="Arial" w:cs="Arial" w:eastAsia="Arial" w:hAnsi="Arial"/>
          <w:i/>
          <w:iCs/>
          <w:color w:val="64748B"/>
          <w:sz w:val="18"/>
          <w:szCs w:val="18"/>
        </w:rPr>
        <w:t xml:space="preserve">End of Addendum — Append to PRD v1.0 as Section 12</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pBdr>
      <w:jc w:val="center"/>
    </w:pPr>
    <w:r>
      <w:rPr>
        <w:rFonts w:ascii="Arial" w:cs="Arial" w:eastAsia="Arial" w:hAnsi="Arial"/>
        <w:color w:val="64748B"/>
        <w:sz w:val="16"/>
        <w:szCs w:val="16"/>
      </w:rPr>
      <w:t xml:space="preserve">LLM Pricing Platform  |  PRD Addendum: Agent Interface  |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0F172A"/>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0F17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2026-02-18T00:28:31.828Z</dcterms:created>
  <dcterms:modified xsi:type="dcterms:W3CDTF">2026-02-18T00:28:31.828Z</dcterms:modified>
</cp:coreProperties>
</file>

<file path=docProps/custom.xml><?xml version="1.0" encoding="utf-8"?>
<Properties xmlns="http://schemas.openxmlformats.org/officeDocument/2006/custom-properties" xmlns:vt="http://schemas.openxmlformats.org/officeDocument/2006/docPropsVTypes"/>
</file>