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IaaS API Mgmt (English)</w:t>
      </w:r>
    </w:p>
    <w:p>
      <w:r>
        <w:t>Node.js + Express + Socket.IO web UI that visualizes a VM topology, computes monthly costs (Business Cloud IaaS "Resource Pool" + an informational PaaS cloudlet comparison) and can deploy the whole topology to T-Cloud (CloudSigma) IaaS.</w:t>
      </w:r>
    </w:p>
    <w:p>
      <w:r>
        <w:t>There is no fixed SLB / Kubernetes / PostgreSQL model — every VM (OPNsense firewall, application servers, database servers, and other VMs like W-01/NFS/Cache/NoSQL) is a plain VM where you click to set CPU / RAM / Disk (+ disk tier).</w:t>
      </w:r>
    </w:p>
    <w:p>
      <w:pPr>
        <w:pStyle w:val="Heading2"/>
      </w:pPr>
      <w:r>
        <w:rPr>
          <w:b/>
        </w:rPr>
        <w:t>Requirements</w:t>
      </w:r>
    </w:p>
    <w:p>
      <w:pPr>
        <w:pStyle w:val="ListBullet"/>
      </w:pPr>
      <w:r>
        <w:t>Node.js (tested on v26)</w:t>
      </w:r>
    </w:p>
    <w:p>
      <w:pPr>
        <w:pStyle w:val="ListBullet"/>
      </w:pPr>
      <w:r>
        <w:t>Python 3 + FastAPI/uvicorn (only for the optional LLM fallback — see below)</w:t>
      </w:r>
    </w:p>
    <w:p>
      <w:pPr>
        <w:pStyle w:val="Heading2"/>
      </w:pPr>
      <w:r>
        <w:rPr>
          <w:b/>
        </w:rPr>
        <w:t>Installation &amp; run</w:t>
      </w:r>
    </w:p>
    <w:p>
      <w:r>
        <w:t>`bash</w:t>
      </w:r>
    </w:p>
    <w:p>
      <w:r>
        <w:t>npm ci &amp;&amp; npm start</w:t>
      </w:r>
    </w:p>
    <w:p>
      <w:r>
        <w:t>`</w:t>
      </w:r>
    </w:p>
    <w:p>
      <w:r>
        <w:t>The app serves on http://localhost:3000. Override the port with the PORT env var.</w:t>
      </w:r>
    </w:p>
    <w:p>
      <w:r>
        <w:t>Behind a reverse proxy with a base path (e.g. /iaasapimgmt):</w:t>
      </w:r>
    </w:p>
    <w:p>
      <w:r>
        <w:t>`bash</w:t>
      </w:r>
    </w:p>
    <w:p>
      <w:r>
        <w:t>BASE_PATH=/iaasapimgmt npm start</w:t>
      </w:r>
    </w:p>
    <w:p>
      <w:r>
        <w:t>`</w:t>
      </w:r>
    </w:p>
    <w:p>
      <w:r>
        <w:t>The app is then available at http://localhost:3000/iaasapimgmt/. Works with Socket.IO (the path auto-configures to BASE_PATH + /socket.io) and the /docs/ proxy.</w:t>
      </w:r>
    </w:p>
    <w:p>
      <w:pPr>
        <w:pStyle w:val="Heading3"/>
      </w:pPr>
      <w:r>
        <w:rPr>
          <w:b/>
        </w:rPr>
        <w:t>PM2 / Forever</w:t>
      </w:r>
    </w:p>
    <w:p>
      <w:r>
        <w:t>Optional process-manager configs exist (ecosystem.config.js, forever.json). Set PORT/BASE_PATH in .env.</w:t>
      </w:r>
    </w:p>
    <w:p>
      <w:pPr>
        <w:pStyle w:val="Heading3"/>
      </w:pPr>
      <w:r>
        <w:rPr>
          <w:b/>
        </w:rPr>
        <w:t>Notes</w:t>
      </w:r>
    </w:p>
    <w:p>
      <w:pPr>
        <w:pStyle w:val="ListBullet"/>
      </w:pPr>
      <w:r>
        <w:t>A Procfile (if present) is stale — the real entrypoint is server.js.</w:t>
      </w:r>
    </w:p>
    <w:p>
      <w:pPr>
        <w:pStyle w:val="ListBullet"/>
      </w:pPr>
      <w:r>
        <w:t>No tests, linter, typecheck, or build step.</w:t>
      </w:r>
    </w:p>
    <w:p>
      <w:pPr>
        <w:pStyle w:val="ListBullet"/>
      </w:pPr>
      <w:r>
        <w:t>.gitignore excludes node_modules/ and package-lock.json.</w:t>
      </w:r>
    </w:p>
    <w:p>
      <w:pPr>
        <w:pStyle w:val="Heading2"/>
      </w:pPr>
      <w:r>
        <w:rPr>
          <w:b/>
        </w:rPr>
        <w:t>Configuration (.env)</w:t>
      </w:r>
    </w:p>
    <w:p>
      <w:r>
        <w:t>Copy from the template: cp .env.example .env</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Meaning</w:t>
            </w:r>
          </w:p>
        </w:tc>
        <w:tc>
          <w:tcPr>
            <w:tcW w:type="dxa" w:w="2880"/>
          </w:tcPr>
          <w:p>
            <w:r>
              <w:t>Default</w:t>
            </w:r>
          </w:p>
        </w:tc>
      </w:tr>
      <w:tr>
        <w:tc>
          <w:tcPr>
            <w:tcW w:type="dxa" w:w="2880"/>
          </w:tcPr>
          <w:p>
            <w:r>
              <w:t>PORT</w:t>
            </w:r>
          </w:p>
        </w:tc>
        <w:tc>
          <w:tcPr>
            <w:tcW w:type="dxa" w:w="2880"/>
          </w:tcPr>
          <w:p>
            <w:r>
              <w:t>server port</w:t>
            </w:r>
          </w:p>
        </w:tc>
        <w:tc>
          <w:tcPr>
            <w:tcW w:type="dxa" w:w="2880"/>
          </w:tcPr>
          <w:p>
            <w:r>
              <w:t>3003</w:t>
            </w:r>
          </w:p>
        </w:tc>
      </w:tr>
      <w:tr>
        <w:tc>
          <w:tcPr>
            <w:tcW w:type="dxa" w:w="2880"/>
          </w:tcPr>
          <w:p>
            <w:r>
              <w:t>BASE_PATH</w:t>
            </w:r>
          </w:p>
        </w:tc>
        <w:tc>
          <w:tcPr>
            <w:tcW w:type="dxa" w:w="2880"/>
          </w:tcPr>
          <w:p>
            <w:r>
              <w:t>base path prefix behind a reverse proxy</w:t>
            </w:r>
          </w:p>
        </w:tc>
        <w:tc>
          <w:tcPr>
            <w:tcW w:type="dxa" w:w="2880"/>
          </w:tcPr>
          <w:p>
            <w:r>
              <w:t>—</w:t>
            </w:r>
          </w:p>
        </w:tc>
      </w:tr>
      <w:tr>
        <w:tc>
          <w:tcPr>
            <w:tcW w:type="dxa" w:w="2880"/>
          </w:tcPr>
          <w:p>
            <w:r>
              <w:t>IaaS_COMMITMENT_MONTHS</w:t>
            </w:r>
          </w:p>
        </w:tc>
        <w:tc>
          <w:tcPr>
            <w:tcW w:type="dxa" w:w="2880"/>
          </w:tcPr>
          <w:p>
            <w:r>
              <w:t>commitment length (0=no commitment / 12 / 24 / 36) — switchable at runtime in the UI</w:t>
            </w:r>
          </w:p>
        </w:tc>
        <w:tc>
          <w:tcPr>
            <w:tcW w:type="dxa" w:w="2880"/>
          </w:tcPr>
          <w:p>
            <w:r>
              <w:t>12</w:t>
            </w:r>
          </w:p>
        </w:tc>
      </w:tr>
      <w:tr>
        <w:tc>
          <w:tcPr>
            <w:tcW w:type="dxa" w:w="2880"/>
          </w:tcPr>
          <w:p>
            <w:r>
              <w:t>IaaS_CPU_RATE_CZK_GHZ</w:t>
            </w:r>
          </w:p>
        </w:tc>
        <w:tc>
          <w:tcPr>
            <w:tcW w:type="dxa" w:w="2880"/>
          </w:tcPr>
          <w:p>
            <w:r>
              <w:t>price per CPU GHz/month (default commitment)</w:t>
            </w:r>
          </w:p>
        </w:tc>
        <w:tc>
          <w:tcPr>
            <w:tcW w:type="dxa" w:w="2880"/>
          </w:tcPr>
          <w:p>
            <w:r>
              <w:t>108.73 (12m)</w:t>
            </w:r>
          </w:p>
        </w:tc>
      </w:tr>
      <w:tr>
        <w:tc>
          <w:tcPr>
            <w:tcW w:type="dxa" w:w="2880"/>
          </w:tcPr>
          <w:p>
            <w:r>
              <w:t>IaaS_RAM_RATE_CZK_GB</w:t>
            </w:r>
          </w:p>
        </w:tc>
        <w:tc>
          <w:tcPr>
            <w:tcW w:type="dxa" w:w="2880"/>
          </w:tcPr>
          <w:p>
            <w:r>
              <w:t>price per RAM GB/month (default commitment)</w:t>
            </w:r>
          </w:p>
        </w:tc>
        <w:tc>
          <w:tcPr>
            <w:tcW w:type="dxa" w:w="2880"/>
          </w:tcPr>
          <w:p>
            <w:r>
              <w:t>47.30 (12m)</w:t>
            </w:r>
          </w:p>
        </w:tc>
      </w:tr>
      <w:tr>
        <w:tc>
          <w:tcPr>
            <w:tcW w:type="dxa" w:w="2880"/>
          </w:tcPr>
          <w:p>
            <w:r>
              <w:t>IaaS_DISK_RATE_CZK_GB</w:t>
            </w:r>
          </w:p>
        </w:tc>
        <w:tc>
          <w:tcPr>
            <w:tcW w:type="dxa" w:w="2880"/>
          </w:tcPr>
          <w:p>
            <w:r>
              <w:t>price per disk GB/month, Super Fast tier (default commitment)</w:t>
            </w:r>
          </w:p>
        </w:tc>
        <w:tc>
          <w:tcPr>
            <w:tcW w:type="dxa" w:w="2880"/>
          </w:tcPr>
          <w:p>
            <w:r>
              <w:t>3.15 (12m)</w:t>
            </w:r>
          </w:p>
        </w:tc>
      </w:tr>
      <w:tr>
        <w:tc>
          <w:tcPr>
            <w:tcW w:type="dxa" w:w="2880"/>
          </w:tcPr>
          <w:p>
            <w:r>
              <w:t>IaaS_PAAS_UTILIZATION</w:t>
            </w:r>
          </w:p>
        </w:tc>
        <w:tc>
          <w:tcPr>
            <w:tcW w:type="dxa" w:w="2880"/>
          </w:tcPr>
          <w:p>
            <w:r>
              <w:t>default utilization for the PaaS section in % (UI slider 10–100; determines the number of dynamic cloudlets)</w:t>
            </w:r>
          </w:p>
        </w:tc>
        <w:tc>
          <w:tcPr>
            <w:tcW w:type="dxa" w:w="2880"/>
          </w:tcPr>
          <w:p>
            <w:r>
              <w:t>40</w:t>
            </w:r>
          </w:p>
        </w:tc>
      </w:tr>
      <w:tr>
        <w:tc>
          <w:tcPr>
            <w:tcW w:type="dxa" w:w="2880"/>
          </w:tcPr>
          <w:p>
            <w:r>
              <w:t>IaaS_REMOTE_BACKUP_RATE_CZK</w:t>
            </w:r>
          </w:p>
        </w:tc>
        <w:tc>
          <w:tcPr>
            <w:tcW w:type="dxa" w:w="2880"/>
          </w:tcPr>
          <w:p>
            <w:r>
              <w:t>Remote backup rate (CZK/GB/month, multiplied by total disk)</w:t>
            </w:r>
          </w:p>
        </w:tc>
        <w:tc>
          <w:tcPr>
            <w:tcW w:type="dxa" w:w="2880"/>
          </w:tcPr>
          <w:p>
            <w:r>
              <w:t>0.68</w:t>
            </w:r>
          </w:p>
        </w:tc>
      </w:tr>
      <w:tr>
        <w:tc>
          <w:tcPr>
            <w:tcW w:type="dxa" w:w="2880"/>
          </w:tcPr>
          <w:p>
            <w:r>
              <w:t>IaaS_PUBLIC_IP_RATE_CZK</w:t>
            </w:r>
          </w:p>
        </w:tc>
        <w:tc>
          <w:tcPr>
            <w:tcW w:type="dxa" w:w="2880"/>
          </w:tcPr>
          <w:p>
            <w:r>
              <w:t>flat monthly "Public IP" fee (only with a firewall/opnsense)</w:t>
            </w:r>
          </w:p>
        </w:tc>
        <w:tc>
          <w:tcPr>
            <w:tcW w:type="dxa" w:w="2880"/>
          </w:tcPr>
          <w:p>
            <w:r>
              <w:t>108</w:t>
            </w:r>
          </w:p>
        </w:tc>
      </w:tr>
      <w:tr>
        <w:tc>
          <w:tcPr>
            <w:tcW w:type="dxa" w:w="2880"/>
          </w:tcPr>
          <w:p>
            <w:r>
              <w:t>IaaS_PAAS_RESERVATION_PCT</w:t>
            </w:r>
          </w:p>
        </w:tc>
        <w:tc>
          <w:tcPr>
            <w:tcW w:type="dxa" w:w="2880"/>
          </w:tcPr>
          <w:p>
            <w:r>
              <w:t>reserved cloudlets = always-paid minimum (% of total, PaaS)</w:t>
            </w:r>
          </w:p>
        </w:tc>
        <w:tc>
          <w:tcPr>
            <w:tcW w:type="dxa" w:w="2880"/>
          </w:tcPr>
          <w:p>
            <w:r>
              <w:t>15</w:t>
            </w:r>
          </w:p>
        </w:tc>
      </w:tr>
      <w:tr>
        <w:tc>
          <w:tcPr>
            <w:tcW w:type="dxa" w:w="2880"/>
          </w:tcPr>
          <w:p>
            <w:r>
              <w:t>IaaS_PAAS_RESERVED_RATES</w:t>
            </w:r>
          </w:p>
        </w:tc>
        <w:tc>
          <w:tcPr>
            <w:tcW w:type="dxa" w:w="2880"/>
          </w:tcPr>
          <w:p>
            <w:r>
              <w:t>reserved PaaS cloudlet rates (CZK/cl/month, per band, comma-separated)</w:t>
            </w:r>
          </w:p>
        </w:tc>
        <w:tc>
          <w:tcPr>
            <w:tcW w:type="dxa" w:w="2880"/>
          </w:tcPr>
          <w:p>
            <w:r>
              <w:t>98.84,93.88,88.91,84.02,79.06</w:t>
            </w:r>
          </w:p>
        </w:tc>
      </w:tr>
      <w:tr>
        <w:tc>
          <w:tcPr>
            <w:tcW w:type="dxa" w:w="2880"/>
          </w:tcPr>
          <w:p>
            <w:r>
              <w:t>IaaS_PAAS_DYNAMIC_RATES</w:t>
            </w:r>
          </w:p>
        </w:tc>
        <w:tc>
          <w:tcPr>
            <w:tcW w:type="dxa" w:w="2880"/>
          </w:tcPr>
          <w:p>
            <w:r>
              <w:t>dynamic PaaS cloudlet rates (CZK/cl/month, per band)</w:t>
            </w:r>
          </w:p>
        </w:tc>
        <w:tc>
          <w:tcPr>
            <w:tcW w:type="dxa" w:w="2880"/>
          </w:tcPr>
          <w:p>
            <w:r>
              <w:t>148.26,144.54,140.82,137.09,133.44</w:t>
            </w:r>
          </w:p>
        </w:tc>
      </w:tr>
      <w:tr>
        <w:tc>
          <w:tcPr>
            <w:tcW w:type="dxa" w:w="2880"/>
          </w:tcPr>
          <w:p>
            <w:r>
              <w:t>IaaS_PAAS_BANDS</w:t>
            </w:r>
          </w:p>
        </w:tc>
        <w:tc>
          <w:tcPr>
            <w:tcW w:type="dxa" w:w="2880"/>
          </w:tcPr>
          <w:p>
            <w:r>
              <w:t>band upper limits for cloudlets (the final band auto-extends to ∞)</w:t>
            </w:r>
          </w:p>
        </w:tc>
        <w:tc>
          <w:tcPr>
            <w:tcW w:type="dxa" w:w="2880"/>
          </w:tcPr>
          <w:p>
            <w:r>
              <w:t>16,32,64,128</w:t>
            </w:r>
          </w:p>
        </w:tc>
      </w:tr>
      <w:tr>
        <w:tc>
          <w:tcPr>
            <w:tcW w:type="dxa" w:w="2880"/>
          </w:tcPr>
          <w:p>
            <w:r>
              <w:t>IaaS_PAAS_DISK_RATE_CZK</w:t>
            </w:r>
          </w:p>
        </w:tc>
        <w:tc>
          <w:tcPr>
            <w:tcW w:type="dxa" w:w="2880"/>
          </w:tcPr>
          <w:p>
            <w:r>
              <w:t>PaaS disk override (flat CZK/GB/month); empty = IaaS "Standard" tier rate by commitment</w:t>
            </w:r>
          </w:p>
        </w:tc>
        <w:tc>
          <w:tcPr>
            <w:tcW w:type="dxa" w:w="2880"/>
          </w:tcPr>
          <w:p>
            <w:r>
              <w:t>(empty)</w:t>
            </w:r>
          </w:p>
        </w:tc>
      </w:tr>
      <w:tr>
        <w:tc>
          <w:tcPr>
            <w:tcW w:type="dxa" w:w="2880"/>
          </w:tcPr>
          <w:p>
            <w:r>
              <w:t>IaaS_PAAS_PUBLIC_IP_RATE_CZK</w:t>
            </w:r>
          </w:p>
        </w:tc>
        <w:tc>
          <w:tcPr>
            <w:tcW w:type="dxa" w:w="2880"/>
          </w:tcPr>
          <w:p>
            <w:r>
              <w:t>PaaS public IP (CZK/IP/month, firewall only)</w:t>
            </w:r>
          </w:p>
        </w:tc>
        <w:tc>
          <w:tcPr>
            <w:tcW w:type="dxa" w:w="2880"/>
          </w:tcPr>
          <w:p>
            <w:r>
              <w:t>120.01</w:t>
            </w:r>
          </w:p>
        </w:tc>
      </w:tr>
      <w:tr>
        <w:tc>
          <w:tcPr>
            <w:tcW w:type="dxa" w:w="2880"/>
          </w:tcPr>
          <w:p>
            <w:r>
              <w:t>IaaS_PAAS_EXT_RATES</w:t>
            </w:r>
          </w:p>
        </w:tc>
        <w:tc>
          <w:tcPr>
            <w:tcW w:type="dxa" w:w="2880"/>
          </w:tcPr>
          <w:p>
            <w:r>
              <w:t>External traffic: CZK/GB prices per band (Virtuozzo)</w:t>
            </w:r>
          </w:p>
        </w:tc>
        <w:tc>
          <w:tcPr>
            <w:tcW w:type="dxa" w:w="2880"/>
          </w:tcPr>
          <w:p>
            <w:r>
              <w:t>0.3098,0.2943,0.2788,0.2634,0.2479</w:t>
            </w:r>
          </w:p>
        </w:tc>
      </w:tr>
      <w:tr>
        <w:tc>
          <w:tcPr>
            <w:tcW w:type="dxa" w:w="2880"/>
          </w:tcPr>
          <w:p>
            <w:r>
              <w:t>IaaS_PAAS_EXT_LIMITS_GB</w:t>
            </w:r>
          </w:p>
        </w:tc>
        <w:tc>
          <w:tcPr>
            <w:tcW w:type="dxa" w:w="2880"/>
          </w:tcPr>
          <w:p>
            <w:r>
              <w:t>External traffic: band upper limits in GB (last = ∞)</w:t>
            </w:r>
          </w:p>
        </w:tc>
        <w:tc>
          <w:tcPr>
            <w:tcW w:type="dxa" w:w="2880"/>
          </w:tcPr>
          <w:p>
            <w:r>
              <w:t>5110,10230,51190,102390</w:t>
            </w:r>
          </w:p>
        </w:tc>
      </w:tr>
      <w:tr>
        <w:tc>
          <w:tcPr>
            <w:tcW w:type="dxa" w:w="2880"/>
          </w:tcPr>
          <w:p>
            <w:r>
              <w:t>TCLOUD_BASE_URL</w:t>
            </w:r>
          </w:p>
        </w:tc>
        <w:tc>
          <w:tcPr>
            <w:tcW w:type="dxa" w:w="2880"/>
          </w:tcPr>
          <w:p>
            <w:r>
              <w:t>T-Cloud API base</w:t>
            </w:r>
          </w:p>
        </w:tc>
        <w:tc>
          <w:tcPr>
            <w:tcW w:type="dxa" w:w="2880"/>
          </w:tcPr>
          <w:p>
            <w:r>
              <w:t>https://prg1.t-cloud.eu/api/2.0</w:t>
            </w:r>
          </w:p>
        </w:tc>
      </w:tr>
      <w:tr>
        <w:tc>
          <w:tcPr>
            <w:tcW w:type="dxa" w:w="2880"/>
          </w:tcPr>
          <w:p>
            <w:r>
              <w:t>TCLOUD_REFERER</w:t>
            </w:r>
          </w:p>
        </w:tc>
        <w:tc>
          <w:tcPr>
            <w:tcW w:type="dxa" w:w="2880"/>
          </w:tcPr>
          <w:p>
            <w:r>
              <w:t>Referer header</w:t>
            </w:r>
          </w:p>
        </w:tc>
        <w:tc>
          <w:tcPr>
            <w:tcW w:type="dxa" w:w="2880"/>
          </w:tcPr>
          <w:p>
            <w:r>
              <w:t>https://prg1.t-cloud.eu</w:t>
            </w:r>
          </w:p>
        </w:tc>
      </w:tr>
      <w:tr>
        <w:tc>
          <w:tcPr>
            <w:tcW w:type="dxa" w:w="2880"/>
          </w:tcPr>
          <w:p>
            <w:r>
              <w:t>TCLOUD_USERNAME / TCLOUD_PASSWORD / TCLOUD_OTP_SECRET</w:t>
            </w:r>
          </w:p>
        </w:tc>
        <w:tc>
          <w:tcPr>
            <w:tcW w:type="dxa" w:w="2880"/>
          </w:tcPr>
          <w:p>
            <w:r>
              <w:t>deployment credentials (fallback)</w:t>
            </w:r>
          </w:p>
        </w:tc>
        <w:tc>
          <w:tcPr>
            <w:tcW w:type="dxa" w:w="2880"/>
          </w:tcPr>
          <w:p>
            <w:r>
              <w:t>empty</w:t>
            </w:r>
          </w:p>
        </w:tc>
      </w:tr>
      <w:tr>
        <w:tc>
          <w:tcPr>
            <w:tcW w:type="dxa" w:w="2880"/>
          </w:tcPr>
          <w:p>
            <w:r>
              <w:t>TCLOUD_VLAN_UUID</w:t>
            </w:r>
          </w:p>
        </w:tc>
        <w:tc>
          <w:tcPr>
            <w:tcW w:type="dxa" w:w="2880"/>
          </w:tcPr>
          <w:p>
            <w:r>
              <w:t>optional single VLAN attached to a NIC</w:t>
            </w:r>
          </w:p>
        </w:tc>
        <w:tc>
          <w:tcPr>
            <w:tcW w:type="dxa" w:w="2880"/>
          </w:tcPr>
          <w:p>
            <w:r>
              <w:t>—</w:t>
            </w:r>
          </w:p>
        </w:tc>
      </w:tr>
      <w:tr>
        <w:tc>
          <w:tcPr>
            <w:tcW w:type="dxa" w:w="2880"/>
          </w:tcPr>
          <w:p>
            <w:r>
              <w:t>OPENAI_API_KEY / OPENAI_MODEL / LLM_ENDPOINT / LLM_MODEL / FALLBACK_URL</w:t>
            </w:r>
          </w:p>
        </w:tc>
        <w:tc>
          <w:tcPr>
            <w:tcW w:type="dxa" w:w="2880"/>
          </w:tcPr>
          <w:p>
            <w:r>
              <w:t>optional LLM fallback — see below</w:t>
            </w:r>
          </w:p>
        </w:tc>
        <w:tc>
          <w:tcPr>
            <w:tcW w:type="dxa" w:w="2880"/>
          </w:tcPr>
          <w:p>
            <w:r>
              <w:t>—</w:t>
            </w:r>
          </w:p>
        </w:tc>
      </w:tr>
    </w:tbl>
    <w:p/>
    <w:p>
      <w:r>
        <w:t>&gt; .env rate overrides (IaaS_CPU_RATE_CZK_GHZ, IaaS_RAM_RATE_CZK_GB, IaaS_DISK_RATE_CZK_GB) apply only to the default commitment; switching to another commitment in the UI always uses the table rates from the official T-Business calculator. The same logic applies to PaaS (see the PaaS section below).</w:t>
      </w:r>
    </w:p>
    <w:p>
      <w:pPr>
        <w:pStyle w:val="Heading3"/>
      </w:pPr>
      <w:r>
        <w:rPr>
          <w:b/>
        </w:rPr>
        <w:t>Full rate table (T-Business calculator, CZK/month)</w:t>
      </w:r>
    </w:p>
    <w:p>
      <w:r>
        <w:t>Unit rates come from the official calculator https://t-business.cz/cs/kalkulator-ceny/ (/api/calculator/groups); "no commitment" (0) was verified via /api/calculator/calculate with commitment_months=0.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Component</w:t>
            </w:r>
          </w:p>
        </w:tc>
        <w:tc>
          <w:tcPr>
            <w:tcW w:type="dxa" w:w="1728"/>
          </w:tcPr>
          <w:p>
            <w:r>
              <w:t>0m (none)</w:t>
            </w:r>
          </w:p>
        </w:tc>
        <w:tc>
          <w:tcPr>
            <w:tcW w:type="dxa" w:w="1728"/>
          </w:tcPr>
          <w:p>
            <w:r>
              <w:t>12m</w:t>
            </w:r>
          </w:p>
        </w:tc>
        <w:tc>
          <w:tcPr>
            <w:tcW w:type="dxa" w:w="1728"/>
          </w:tcPr>
          <w:p>
            <w:r>
              <w:t>24m</w:t>
            </w:r>
          </w:p>
        </w:tc>
        <w:tc>
          <w:tcPr>
            <w:tcW w:type="dxa" w:w="1728"/>
          </w:tcPr>
          <w:p>
            <w:r>
              <w:t>36m</w:t>
            </w:r>
          </w:p>
        </w:tc>
      </w:tr>
      <w:tr>
        <w:tc>
          <w:tcPr>
            <w:tcW w:type="dxa" w:w="1728"/>
          </w:tcPr>
          <w:p>
            <w:r>
              <w:t>CPU (GHz)</w:t>
            </w:r>
          </w:p>
        </w:tc>
        <w:tc>
          <w:tcPr>
            <w:tcW w:type="dxa" w:w="1728"/>
          </w:tcPr>
          <w:p>
            <w:r>
              <w:t>157.06</w:t>
            </w:r>
          </w:p>
        </w:tc>
        <w:tc>
          <w:tcPr>
            <w:tcW w:type="dxa" w:w="1728"/>
          </w:tcPr>
          <w:p>
            <w:r>
              <w:t>108.73</w:t>
            </w:r>
          </w:p>
        </w:tc>
        <w:tc>
          <w:tcPr>
            <w:tcW w:type="dxa" w:w="1728"/>
          </w:tcPr>
          <w:p>
            <w:r>
              <w:t>102.69</w:t>
            </w:r>
          </w:p>
        </w:tc>
        <w:tc>
          <w:tcPr>
            <w:tcW w:type="dxa" w:w="1728"/>
          </w:tcPr>
          <w:p>
            <w:r>
              <w:t>96.65</w:t>
            </w:r>
          </w:p>
        </w:tc>
      </w:tr>
      <w:tr>
        <w:tc>
          <w:tcPr>
            <w:tcW w:type="dxa" w:w="1728"/>
          </w:tcPr>
          <w:p>
            <w:r>
              <w:t>RAM (GB)</w:t>
            </w:r>
          </w:p>
        </w:tc>
        <w:tc>
          <w:tcPr>
            <w:tcW w:type="dxa" w:w="1728"/>
          </w:tcPr>
          <w:p>
            <w:r>
              <w:t>68.33</w:t>
            </w:r>
          </w:p>
        </w:tc>
        <w:tc>
          <w:tcPr>
            <w:tcW w:type="dxa" w:w="1728"/>
          </w:tcPr>
          <w:p>
            <w:r>
              <w:t>47.30</w:t>
            </w:r>
          </w:p>
        </w:tc>
        <w:tc>
          <w:tcPr>
            <w:tcW w:type="dxa" w:w="1728"/>
          </w:tcPr>
          <w:p>
            <w:r>
              <w:t>44.68</w:t>
            </w:r>
          </w:p>
        </w:tc>
        <w:tc>
          <w:tcPr>
            <w:tcW w:type="dxa" w:w="1728"/>
          </w:tcPr>
          <w:p>
            <w:r>
              <w:t>42.05</w:t>
            </w:r>
          </w:p>
        </w:tc>
      </w:tr>
      <w:tr>
        <w:tc>
          <w:tcPr>
            <w:tcW w:type="dxa" w:w="1728"/>
          </w:tcPr>
          <w:p>
            <w:r>
              <w:t>Disk Super Fast 10000 (GB)</w:t>
            </w:r>
          </w:p>
        </w:tc>
        <w:tc>
          <w:tcPr>
            <w:tcW w:type="dxa" w:w="1728"/>
          </w:tcPr>
          <w:p>
            <w:r>
              <w:t>4.55</w:t>
            </w:r>
          </w:p>
        </w:tc>
        <w:tc>
          <w:tcPr>
            <w:tcW w:type="dxa" w:w="1728"/>
          </w:tcPr>
          <w:p>
            <w:r>
              <w:t>3.15</w:t>
            </w:r>
          </w:p>
        </w:tc>
        <w:tc>
          <w:tcPr>
            <w:tcW w:type="dxa" w:w="1728"/>
          </w:tcPr>
          <w:p>
            <w:r>
              <w:t>2.98</w:t>
            </w:r>
          </w:p>
        </w:tc>
        <w:tc>
          <w:tcPr>
            <w:tcW w:type="dxa" w:w="1728"/>
          </w:tcPr>
          <w:p>
            <w:r>
              <w:t>2.80</w:t>
            </w:r>
          </w:p>
        </w:tc>
      </w:tr>
      <w:tr>
        <w:tc>
          <w:tcPr>
            <w:tcW w:type="dxa" w:w="1728"/>
          </w:tcPr>
          <w:p>
            <w:r>
              <w:t>Disk Fast 5000 (GB)</w:t>
            </w:r>
          </w:p>
        </w:tc>
        <w:tc>
          <w:tcPr>
            <w:tcW w:type="dxa" w:w="1728"/>
          </w:tcPr>
          <w:p>
            <w:r>
              <w:t>2.60</w:t>
            </w:r>
          </w:p>
        </w:tc>
        <w:tc>
          <w:tcPr>
            <w:tcW w:type="dxa" w:w="1728"/>
          </w:tcPr>
          <w:p>
            <w:r>
              <w:t>1.80</w:t>
            </w:r>
          </w:p>
        </w:tc>
        <w:tc>
          <w:tcPr>
            <w:tcW w:type="dxa" w:w="1728"/>
          </w:tcPr>
          <w:p>
            <w:r>
              <w:t>1.70</w:t>
            </w:r>
          </w:p>
        </w:tc>
        <w:tc>
          <w:tcPr>
            <w:tcW w:type="dxa" w:w="1728"/>
          </w:tcPr>
          <w:p>
            <w:r>
              <w:t>1.60</w:t>
            </w:r>
          </w:p>
        </w:tc>
      </w:tr>
      <w:tr>
        <w:tc>
          <w:tcPr>
            <w:tcW w:type="dxa" w:w="1728"/>
          </w:tcPr>
          <w:p>
            <w:r>
              <w:t>Disk Standard 3000 (GB)</w:t>
            </w:r>
          </w:p>
        </w:tc>
        <w:tc>
          <w:tcPr>
            <w:tcW w:type="dxa" w:w="1728"/>
          </w:tcPr>
          <w:p>
            <w:r>
              <w:t>1.95</w:t>
            </w:r>
          </w:p>
        </w:tc>
        <w:tc>
          <w:tcPr>
            <w:tcW w:type="dxa" w:w="1728"/>
          </w:tcPr>
          <w:p>
            <w:r>
              <w:t>1.35</w:t>
            </w:r>
          </w:p>
        </w:tc>
        <w:tc>
          <w:tcPr>
            <w:tcW w:type="dxa" w:w="1728"/>
          </w:tcPr>
          <w:p>
            <w:r>
              <w:t>1.28</w:t>
            </w:r>
          </w:p>
        </w:tc>
        <w:tc>
          <w:tcPr>
            <w:tcW w:type="dxa" w:w="1728"/>
          </w:tcPr>
          <w:p>
            <w:r>
              <w:t>1.20</w:t>
            </w:r>
          </w:p>
        </w:tc>
      </w:tr>
      <w:tr>
        <w:tc>
          <w:tcPr>
            <w:tcW w:type="dxa" w:w="1728"/>
          </w:tcPr>
          <w:p>
            <w:r>
              <w:t>Disk Basic 600 (GB)</w:t>
            </w:r>
          </w:p>
        </w:tc>
        <w:tc>
          <w:tcPr>
            <w:tcW w:type="dxa" w:w="1728"/>
          </w:tcPr>
          <w:p>
            <w:r>
              <w:t>1.30</w:t>
            </w:r>
          </w:p>
        </w:tc>
        <w:tc>
          <w:tcPr>
            <w:tcW w:type="dxa" w:w="1728"/>
          </w:tcPr>
          <w:p>
            <w:r>
              <w:t>0.90</w:t>
            </w:r>
          </w:p>
        </w:tc>
        <w:tc>
          <w:tcPr>
            <w:tcW w:type="dxa" w:w="1728"/>
          </w:tcPr>
          <w:p>
            <w:r>
              <w:t>0.85</w:t>
            </w:r>
          </w:p>
        </w:tc>
        <w:tc>
          <w:tcPr>
            <w:tcW w:type="dxa" w:w="1728"/>
          </w:tcPr>
          <w:p>
            <w:r>
              <w:t>0.80</w:t>
            </w:r>
          </w:p>
        </w:tc>
      </w:tr>
      <w:tr>
        <w:tc>
          <w:tcPr>
            <w:tcW w:type="dxa" w:w="1728"/>
          </w:tcPr>
          <w:p>
            <w:r>
              <w:t>Public IP (flat/monthly, firewall only)</w:t>
            </w:r>
          </w:p>
        </w:tc>
        <w:tc>
          <w:tcPr>
            <w:tcW w:type="dxa" w:w="1728"/>
          </w:tcPr>
          <w:p>
            <w:r>
              <w:t>108</w:t>
            </w:r>
          </w:p>
        </w:tc>
        <w:tc>
          <w:tcPr>
            <w:tcW w:type="dxa" w:w="1728"/>
          </w:tcPr>
          <w:p>
            <w:r>
              <w:t>108</w:t>
            </w:r>
          </w:p>
        </w:tc>
        <w:tc>
          <w:tcPr>
            <w:tcW w:type="dxa" w:w="1728"/>
          </w:tcPr>
          <w:p>
            <w:r>
              <w:t>108</w:t>
            </w:r>
          </w:p>
        </w:tc>
        <w:tc>
          <w:tcPr>
            <w:tcW w:type="dxa" w:w="1728"/>
          </w:tcPr>
          <w:p>
            <w:r>
              <w:t>108</w:t>
            </w:r>
          </w:p>
        </w:tc>
      </w:tr>
    </w:tbl>
    <w:p/>
    <w:p>
      <w:pPr>
        <w:pStyle w:val="Heading2"/>
      </w:pPr>
      <w:r>
        <w:rPr>
          <w:b/>
        </w:rPr>
        <w:t>Costing — Calculation logic</w:t>
      </w:r>
    </w:p>
    <w:p>
      <w:pPr>
        <w:pStyle w:val="Heading3"/>
      </w:pPr>
      <w:r>
        <w:rPr>
          <w:b/>
        </w:rPr>
        <w:t>1. IaaS (Business Cloud "Resource Pool")</w:t>
      </w:r>
    </w:p>
    <w:p>
      <w:r>
        <w:t>Business Cloud IaaS is billed as a Resource Pool across the whole architecture — the price is computed from the sum of all VMs' resources, not per VM:</w:t>
      </w:r>
    </w:p>
    <w:p>
      <w:r>
        <w:t>`</w:t>
      </w:r>
    </w:p>
    <w:p>
      <w:r>
        <w:t>total (IaaS) = ceil(Σ CPU GHz) × cpuRate</w:t>
      </w:r>
    </w:p>
    <w:p>
      <w:r>
        <w:t>+ Σ RAM GB × ramRate</w:t>
      </w:r>
    </w:p>
    <w:p>
      <w:r>
        <w:t>+ Σ disk GB × tierRate (per-VM tier)</w:t>
      </w:r>
    </w:p>
    <w:p>
      <w:r>
        <w:t>+ Σ disk GB × 2 × 0.68        (Remote backup: 2× total disk × rate)</w:t>
      </w:r>
    </w:p>
    <w:p>
      <w:r>
        <w:t>+ "Public IP"              (108 Kč, only when a firewall / opnsense group is present)</w:t>
      </w:r>
    </w:p>
    <w:p>
      <w:r>
        <w:t>+ Σ RAM GB × ramRate</w:t>
      </w:r>
    </w:p>
    <w:p>
      <w:r>
        <w:t>+ Σ disk GB × rate (per each VM's tier)</w:t>
      </w:r>
    </w:p>
    <w:p>
      <w:r>
        <w:t>+ "Public IP"                           (108 CZK, only with a firewall / opnsense group)</w:t>
      </w:r>
    </w:p>
    <w:p>
      <w:r>
        <w:t>`</w:t>
      </w:r>
    </w:p>
    <w:p>
      <w:r>
        <w:t>Calculation steps (server lib/pricing.js, mirrored client-side in public/main.js):</w:t>
      </w:r>
    </w:p>
    <w:p>
      <w:pPr>
        <w:pStyle w:val="ListNumber"/>
      </w:pPr>
      <w:r>
        <w:t>Per-VM lines (nodeCost):</w:t>
      </w:r>
    </w:p>
    <w:p>
      <w:r>
        <w:t>- cpuCost = cpuGHz × cpuRate(cm) (exact, not rounded)</w:t>
      </w:r>
    </w:p>
    <w:p>
      <w:r>
        <w:t>- ramCost = ramGB × ramRate(cm)</w:t>
      </w:r>
    </w:p>
    <w:p>
      <w:r>
        <w:t>- diskCost = diskGB × tierRate — the VM's disk is billed at its own performance-tier rate only (no synthetic "Basic base")</w:t>
      </w:r>
    </w:p>
    <w:p>
      <w:r>
        <w:t>- total = cpuCost + ramCost + diskCost</w:t>
      </w:r>
    </w:p>
    <w:p>
      <w:pPr>
        <w:pStyle w:val="ListNumber"/>
      </w:pPr>
      <w:r>
        <w:t>Pooled sums (summarize):</w:t>
      </w:r>
    </w:p>
    <w:p>
      <w:r>
        <w:t>- CPU is billed on the total GHz rounded up to a whole number (like the calculator: 36.8 GHz → 37 × rate). Per-node lines stay exact; only the pooled CPU is rounded. The difference between the per-node sum and the pooled CPU price comes from this rounding.</w:t>
      </w:r>
    </w:p>
    <w:p>
      <w:r>
        <w:t>- RAM and disk are summed exactly.</w:t>
      </w:r>
    </w:p>
    <w:p>
      <w:r>
        <w:t>- diskCostCZK (total) = Σ per-node diskCost (= Σ tier disks × their rates).</w:t>
      </w:r>
    </w:p>
    <w:p>
      <w:pPr>
        <w:pStyle w:val="ListNumber"/>
      </w:pPr>
      <w:r>
        <w:t>Disk by tier (diskByTier): the GB of all VMs using a given tier are summed × that tier's rate; a tier line appears only when the topology actually contains VMs of that tier (Super Fast / Fast / Standard / Basic). No synthetic rows.</w:t>
      </w:r>
    </w:p>
    <w:p>
      <w:pPr>
        <w:pStyle w:val="ListNumber"/>
      </w:pPr>
      <w:r>
        <w:t>Price by group: sum of per-node totalCZK + VM count in each group.</w:t>
      </w:r>
    </w:p>
    <w:p>
      <w:pPr>
        <w:pStyle w:val="ListNumber"/>
      </w:pPr>
      <w:r>
        <w:t>Formatting: formatCZK rounds to whole CZK and separates thousands with spaces (1 158 Kč).</w:t>
      </w:r>
    </w:p>
    <w:p>
      <w:pPr>
        <w:pStyle w:val="Heading3"/>
      </w:pPr>
      <w:r>
        <w:rPr>
          <w:b/>
        </w:rPr>
        <w:t>2. PaaS (cloudlets — informational comparison)</w:t>
      </w:r>
    </w:p>
    <w:p>
      <w:r>
        <w:t>An informational section in the UI — does not affect the IaaS price. It models Virtuozzo cloudlets including the official price list (volume bands, CZK/cloudlet/month = hourly rate × 730 h):</w:t>
      </w:r>
    </w:p>
    <w:p>
      <w:pPr>
        <w:pStyle w:val="ListBullet"/>
      </w:pPr>
      <w:r>
        <w:t>Cloudlet = 128 MiB RAM (0.125 GiB) + 400 MHz CPU (0.4 GHz) — both adjustablein the UI (PaaS parameters, "Cloudlet RAM" / "Cloudlet CPU" fields).</w:t>
      </w:r>
    </w:p>
    <w:p>
      <w:pPr>
        <w:pStyle w:val="ListBullet"/>
      </w:pPr>
      <w:r>
        <w:t>Cloudlets per VM= ceil(max(cpuGHz / (clCpuMHz/1000), ramGB / (clRamMiB/1024))) (independent of disk), where clCpuMHz and clRamMiB are the cloudlet parameters (default 400 / 128).</w:t>
      </w:r>
    </w:p>
    <w:p>
      <w:pPr>
        <w:pStyle w:val="ListBullet"/>
      </w:pPr>
      <w:r>
        <w:t>What changing the RAM/CPU ratio in a cloudlet does: the cloudlet size only "sees" CPU and RAM, so changing the cloudlet parameters changes the number of cloudlets of every VM(and thus the total N):</w:t>
      </w:r>
    </w:p>
    <w:p>
      <w:pPr>
        <w:pStyle w:val="ListBullet"/>
      </w:pPr>
      <w:r>
        <w:t>increasing a cloudlet's RAM or CPU → the cloudlet covers more of the VM's resources → fewer cloudlets (and vice versa);</w:t>
      </w:r>
    </w:p>
    <w:p>
      <w:pPr>
        <w:pStyle w:val="ListBullet"/>
      </w:pPr>
      <w:r>
        <w:t>the new N is used to recompute the volume price (bands below), the effective average rate and the dynamic share price; price per cloudlet in CZK does not change — the parameter only changes how manycloudlets are counted;</w:t>
      </w:r>
    </w:p>
    <w:p>
      <w:pPr>
        <w:pStyle w:val="ListBullet"/>
      </w:pPr>
      <w:r>
        <w:t>example: VM 7.2 GHz / 2.25 GiB → default (400 MHz + 128 MiB): ceil(max(7.2/0.4, 2.25/0.125)) = ceil(max(18, 18)) = 18 cloudlets; reducing the cloudlet CPU to 200 MHz → ceil(max(36, 18)) = 36 cloudlets (double).</w:t>
      </w:r>
    </w:p>
    <w:p>
      <w:pPr>
        <w:pStyle w:val="ListBullet"/>
      </w:pPr>
      <w:r>
        <w:t>Total N = sum across all VMs (= the reservedcloudlets, always paid).</w:t>
      </w:r>
    </w:p>
    <w:p>
      <w:pPr>
        <w:pStyle w:val="ListBullet"/>
      </w:pPr>
      <w:r>
        <w:t>Virtuozzo cloudlet price list (volume bands on total count):</w:t>
      </w:r>
    </w:p>
    <w:p>
      <w:r>
        <w:t>| Band | 1–16 | 17–32 | 33–64 | 65–128 | 129+ |</w:t>
      </w:r>
    </w:p>
    <w:p>
      <w:r>
        <w:t>|---|---|---|---|---|---|</w:t>
      </w:r>
    </w:p>
    <w:p>
      <w:r>
        <w:t>| Reserved CZK/cl/month | 98.84 | 93.88 | 88.91 | 84.02 | 79.06 |</w:t>
      </w:r>
    </w:p>
    <w:p>
      <w:r>
        <w:t>| Dynamic CZK/cl/month | 148.26 | 144.54 | 140.82 | 137.09 | 133.44 |</w:t>
      </w:r>
    </w:p>
    <w:p>
      <w:r>
        <w:t>(Hourly rates × 730 h: 0.1354/0.1286/0.1218/0.1151/0.1083 → 98.84/93.88/88.91/84.02/79.06 and 0.2031/0.1980/0.1929/0.1878/0.1828 → 148.26/144.54/140.82/137.09/133.44. Discounts: reserved 33–47 %, dynamic 0–10 %.)</w:t>
      </w:r>
    </w:p>
    <w:p>
      <w:pPr>
        <w:pStyle w:val="ListBullet"/>
      </w:pPr>
      <w:r>
        <w:t>Price calculation:</w:t>
      </w:r>
    </w:p>
    <w:p>
      <w:pPr>
        <w:pStyle w:val="ListBullet"/>
      </w:pPr>
      <w:r>
        <w:t>Reserved cloudlets R= always-paid minimum = ceil(N × 15 %) (e.g. 82 → 13);</w:t>
      </w:r>
    </w:p>
    <w:p>
      <w:pPr>
        <w:pStyle w:val="ListBullet"/>
      </w:pPr>
      <w:r>
        <w:t>Dynamic cloudlets D= actually used above the reservation = ceil(N × utilization) − R (e.g. 82 @40 % → 33 − 13 = 20; @100 % → 82 − 13 = 69);</w:t>
      </w:r>
    </w:p>
    <w:p>
      <w:pPr>
        <w:pStyle w:val="ListBullet"/>
      </w:pPr>
      <w:r>
        <w:t>Cloudlet price= band(R, reserved rates) + band(D, dynamic rates), where band(n, rates) distributes n across the volume bands;</w:t>
      </w:r>
    </w:p>
    <w:p>
      <w:pPr>
        <w:pStyle w:val="ListBullet"/>
      </w:pPr>
      <w:r>
        <w:t>example @40 %: R=13 → 13×98.84 = 1 284.92 CZK; D=20 → 16×148.26 + 4×144.54 = 2 950.32 CZK; total 4 235.24 CZK;</w:t>
      </w:r>
    </w:p>
    <w:p>
      <w:pPr>
        <w:pStyle w:val="ListBullet"/>
      </w:pPr>
      <w:r>
        <w:t>example @100 %: R=13 → 1 284.92 CZK; D=69 → 16×148.26 + 16×144.54 + 32×140.82 + 5×137.09 = 9 876.49 CZK; total 11 161.41 CZK (average ~136 CZK/cl, not 2× as in the previous model).</w:t>
      </w:r>
    </w:p>
    <w:p>
      <w:pPr>
        <w:pStyle w:val="ListBullet"/>
      </w:pPr>
      <w:r>
        <w:t>Utilization: paasUtil (default 40 %, env IaaS_PAAS_UTILIZATION, UI slider 10–100 %) determines the number of dynamiccloudlets ceil(N × utilization); the reserved ones are always paid unchanged. The CPU/RAM figures shown in the section reflect utilization (actually used capacity).</w:t>
      </w:r>
    </w:p>
    <w:p>
      <w:pPr>
        <w:pStyle w:val="ListBullet"/>
      </w:pPr>
      <w:r>
        <w:t>Other Virtuozzo line items(added to the PaaS total, not affected by utilization):</w:t>
      </w:r>
    </w:p>
    <w:p>
      <w:pPr>
        <w:pStyle w:val="ListBullet"/>
      </w:pPr>
      <w:r>
        <w:t>PaaS disk = Σ diskGB of all VMs × IaaS "Standard" tier rate by commitment(no commitment 1.95 / 12m 1.35 / 24m 1.28 / 36m 1.20 CZK/GB/month); IaaS_PAAS_DISK_RATE_CZK can override with a flat rate;</w:t>
      </w:r>
    </w:p>
    <w:p>
      <w:pPr>
        <w:pStyle w:val="ListBullet"/>
      </w:pPr>
      <w:r>
        <w:t>Public IP = 120.01 CZK/IP/month(0.1644 CZK/h × 730), only when the topology contains a firewall (opnsense group);</w:t>
      </w:r>
    </w:p>
    <w:p>
      <w:pPr>
        <w:pStyle w:val="ListBullet"/>
      </w:pPr>
      <w:r>
        <w:t>External traffic= entered GB/month (#paasExtGb, default 0) × price/GB per band (Virtuozzo): ≤5.11 TB 0.3098 · ≤10.23 TB 0.2943 · ≤51.19 TB 0.2788 · ≤102.39 TB 0.2634 · &gt;102.4 TB 0.2479 CZK/GB. Bands/prices via IaaS_PAAS_EXT_LIMITS_GB + IaaS_PAAS_EXT_RATES.</w:t>
      </w:r>
    </w:p>
    <w:p>
      <w:pPr>
        <w:pStyle w:val="ListBullet"/>
      </w:pPr>
      <w:r>
        <w:t>"Total PaaS price"= cloudlet price (R + D) + PaaS disk + Public IP.</w:t>
      </w:r>
    </w:p>
    <w:p>
      <w:pPr>
        <w:pStyle w:val="ListBullet"/>
      </w:pPr>
      <w:r>
        <w:t>Commitment ratio (PaaS): paasCommitRatio(cm) = cpuRate(cm) / cpuRate(12m); it multiplies the cloudlet price (same logic as IaaS — an env override applies only to the default commitment). The PaaS commitment is chosen independently (paasCommitSel).</w:t>
      </w:r>
    </w:p>
    <w:p>
      <w:pPr>
        <w:pStyle w:val="ListBullet"/>
      </w:pPr>
      <w:r>
        <w:t>Effective average rate: effRate = cloudletCost(N) / N — per-VM rows use it so the per-row sum matches the total price; per-VM "PaaS price" = cl × effRate.</w:t>
      </w:r>
    </w:p>
    <w:p>
      <w:pPr>
        <w:pStyle w:val="ListBullet"/>
      </w:pPr>
      <w:r>
        <w:t>PaaS commitment — server vs UI: the server reports the raw volume price in /api/(cloudletCostCZK, without the commitment ratio); the UI applies the commitment ratio and utilization locally.</w:t>
      </w:r>
    </w:p>
    <w:p>
      <w:pPr>
        <w:pStyle w:val="Heading3"/>
      </w:pPr>
      <w:r>
        <w:rPr>
          <w:b/>
        </w:rPr>
        <w:t>3. Excel export (.xlsx)</w:t>
      </w:r>
    </w:p>
    <w:p>
      <w:r>
        <w:t>Clicking "Export Excel" mirrors the web content exactly (exportExcel in public/main.js): both costings (IaaS + PaaS with utilization), disk by tier, price by group, rates, and the VM table (columns VM, Group, CPU GHz, RAM GiB, Disk GB, Tier, CPU, RAM, Disk, Price IaaS, Cloudlets, Price PaaS). The PaaS summary rows follow the same order as the web (CPU → RAM → Reserved cloudlets → Dynamic cloudlets → Cloudlet price → Price / cloudlet → PaaS disk → Public IP → Total PaaS price). A topology screenshot (html2canvas + JSZip) is embedded at the top when available; rows are shifted so the image does not cover the text. The VM table's "Cloudlets" column shows cloudlets per utilization (round(cl × utilization)), not the maximum.</w:t>
      </w:r>
    </w:p>
    <w:p>
      <w:pPr>
        <w:pStyle w:val="Heading3"/>
      </w:pPr>
      <w:r>
        <w:rPr>
          <w:b/>
        </w:rPr>
        <w:t>4. Topology</w:t>
      </w:r>
    </w:p>
    <w:p>
      <w:pPr>
        <w:pStyle w:val="ListBullet"/>
      </w:pPr>
      <w:r>
        <w:t>Built-in default topology: Sec-01 (OPNsense, Fast, 4+4+50) + App-01 (Standard, 8+4+100) + Db-01 (Fast, 4+4+300). If default.topo.json exists (same format as the UI's .topo.json export), it is loaded at server startupinstead.</w:t>
      </w:r>
    </w:p>
    <w:p>
      <w:pPr>
        <w:pStyle w:val="ListBullet"/>
      </w:pPr>
      <w:r>
        <w:t>Shipped default.topo.json: envName = "", group labels Aplikace / Databáze / Bezpečnost (Application / Database / Security), Sec-01 label Firewall/LoadBalancing. The firewall node's group is opnsense; for manually uploaded .topo.json files with security, compute() in lib/architecture.js aliases it to opnsense, so the node stays in the topology (rendered as a firewall with a public IP on its NIC).</w:t>
      </w:r>
    </w:p>
    <w:p>
      <w:pPr>
        <w:pStyle w:val="ListBullet"/>
      </w:pPr>
      <w:r>
        <w:t>Groups(lib/architecture.js defaultGroups()): app (Application servers, APP, standard), db (Database servers, DATA, fast), opnsense (Security, WAN, standard; may appear as the security alias in topologies), other (Other servers, LAN, superfast). The group's default disk tier is used when a VM has none of its own.</w:t>
      </w:r>
    </w:p>
    <w:p>
      <w:pPr>
        <w:pStyle w:val="ListBullet"/>
      </w:pPr>
      <w:r>
        <w:t>Per-group VLANs (defaultVlans()): every group has { name, uuid }; the UI draws connector lines between the groups and OPNsense — clicking a connector opens the VLAN editor(name + UUID). The server merges the topology's VLANs over the defaults in compute().</w:t>
      </w:r>
    </w:p>
    <w:p>
      <w:pPr>
        <w:pStyle w:val="ListBullet"/>
      </w:pPr>
      <w:r>
        <w:t>Persistence is purely client-side (localStorage key iaas_topology + a JSON .topo.json file): the "Save topology" / "Load topology" and "Download topology" / "Upload topology"buttons. It stores state (nodes, groups incl. renamed display names, vlans, commitment, envName) and restores it via the socket recalc. There is no server-side storage.</w:t>
      </w:r>
    </w:p>
    <w:p>
      <w:pPr>
        <w:pStyle w:val="Heading3"/>
      </w:pPr>
      <w:r>
        <w:rPr>
          <w:b/>
        </w:rPr>
        <w:t>5. PaaS import → IaaS</w:t>
      </w:r>
    </w:p>
    <w:p>
      <w:r>
        <w:t>"Import PaaS → IaaS" (or POST /api/import-paas) converts a Jelastic/Virtuozzo export into an IaaS topology (fromPaaSExport in lib/architecture.js):</w:t>
      </w:r>
    </w:p>
    <w:p>
      <w:pPr>
        <w:pStyle w:val="ListBullet"/>
      </w:pPr>
      <w:r>
        <w:t>sized from cloudlets (1 cloudlet = 0.4 GHz + 0.125 GiB): cpuGHz = cloudlets × 0.4 (rounded to 1 decimal), ramGB = cloudlets × 0.125 (rounded to 2 decimals); disk from diskLimit ("200G"→200, "1024M"→2, "1T"→1024).</w:t>
      </w:r>
    </w:p>
    <w:p>
      <w:pPr>
        <w:pStyle w:val="ListBullet"/>
      </w:pPr>
      <w:r>
        <w:t>count &gt; 1 expands into Base-01…NN; single nodes use displayName (or nodeGroup).</w:t>
      </w:r>
    </w:p>
    <w:p>
      <w:pPr>
        <w:pStyle w:val="ListBullet"/>
      </w:pPr>
      <w:r>
        <w:t>nodeType → group and tier: postgresql/mysql/mariadb/... → db (fast); haproxy/nginx/kubernetes/docker/... → app (standard); storage/nfs/cache/... → other (superfast); opnsense/firewall/vpn → opnsense. Unknown → other (superfast).</w:t>
      </w:r>
    </w:p>
    <w:p>
      <w:pPr>
        <w:pStyle w:val="ListBullet"/>
      </w:pPr>
      <w:r>
        <w:t>An OPNsense firewall singleton (default 4/4/20) is always kept, even if the export has none. envName comes from description.text (fallback envName).</w:t>
      </w:r>
    </w:p>
    <w:p>
      <w:pPr>
        <w:pStyle w:val="Heading3"/>
      </w:pPr>
      <w:r>
        <w:rPr>
          <w:b/>
        </w:rPr>
        <w:t>6. PaaS export ← from IaaS</w:t>
      </w:r>
    </w:p>
    <w:p>
      <w:r>
        <w:t>"Export PaaS" (or POST /api/export-paas) converts the current IaaS topology back into a Jelastic export (toPaaSExport): every VM becomes an almalinux-vps node with:</w:t>
      </w:r>
    </w:p>
    <w:p>
      <w:pPr>
        <w:pStyle w:val="ListBullet"/>
      </w:pPr>
      <w:r>
        <w:t>cloudlets = max(1, ceil(max(cpuGHz/0.4, ramGB/0.125)));</w:t>
      </w:r>
    </w:p>
    <w:p>
      <w:pPr>
        <w:pStyle w:val="ListBullet"/>
      </w:pPr>
      <w:r>
        <w:t>diskLimit from diskGB ("50G"; ≥1024 → "1T");</w:t>
      </w:r>
    </w:p>
    <w:p>
      <w:pPr>
        <w:pStyle w:val="ListBullet"/>
      </w:pPr>
      <w:r>
        <w:t>nodeType: "almalinux-vps", nodeGroup = sanitized lowercase unique token (^[a-z0-9._\-+]+$), scalingMode: "STATEFUL", isSLBAccessEnabled: true, tag: "9.7", docker: {cmd:"/bin/bash", env:{DOCKER_EXPOSED_PORT:"22", PATH:...}}.</w:t>
      </w:r>
    </w:p>
    <w:p>
      <w:pPr>
        <w:pStyle w:val="ListBullet"/>
      </w:pPr>
      <w:r>
        <w:t>Replicas Base-01…NN (split by the importer) collapse back into one node with count.</w:t>
      </w:r>
    </w:p>
    <w:p>
      <w:pPr>
        <w:pStyle w:val="ListBullet"/>
      </w:pPr>
      <w:r>
        <w:t>Top-level {type:"install", name:&lt;timestamp&gt;, engine:"", categories:["export"], description:{text: envName}, nodes, version:"8.14.3"}. The result panel allows copy/download.</w:t>
      </w:r>
    </w:p>
    <w:p>
      <w:pPr>
        <w:pStyle w:val="Heading2"/>
      </w:pPr>
      <w:r>
        <w:rPr>
          <w:b/>
        </w:rPr>
        <w:t>T-Cloud deployment (instructions)</w:t>
      </w:r>
    </w:p>
    <w:p>
      <w:r>
        <w:t>&gt; Warning: deployment creates real cloud resources in T-Cloud. Do not run it without clear intent.</w:t>
      </w:r>
    </w:p>
    <w:p>
      <w:pPr>
        <w:pStyle w:val="Heading3"/>
      </w:pPr>
      <w:r>
        <w:rPr>
          <w:b/>
        </w:rPr>
        <w:t>Credentials</w:t>
      </w:r>
    </w:p>
    <w:p>
      <w:r>
        <w:t>Credentials are entered in the UI (deploy panel: username / password / OTP secret) and passed per-login to lib/tcloud.login(opts). Anything left blank falls back to the environment defaults (.env): TCLOUD_USERNAME / TCLOUD_PASSWORD / TCLOUD_OTP_SECRET.</w:t>
      </w:r>
    </w:p>
    <w:p>
      <w:pPr>
        <w:pStyle w:val="Heading3"/>
      </w:pPr>
      <w:r>
        <w:rPr>
          <w:b/>
        </w:rPr>
        <w:t>Deployment flow</w:t>
      </w:r>
    </w:p>
    <w:p>
      <w:r>
        <w:t>The "Deploy to IaaS" button (Socket.IO deploy / POST /api/deploy) — lib/deploy.js:</w:t>
      </w:r>
    </w:p>
    <w:p>
      <w:pPr>
        <w:pStyle w:val="ListNumber"/>
      </w:pPr>
      <w:r>
        <w:t>Login (tcloud.login): POST /accounts/action/?do=login → POST /accounts/action/?do=verify_otp (TOTP RFC 6238, base32 secret, HMAC-SHA1, 30 s window) — no external dependencies (fetch + crypto). If no otpSecret is given, 2FA is skipped.</w:t>
      </w:r>
    </w:p>
    <w:p>
      <w:pPr>
        <w:pStyle w:val="ListNumber"/>
      </w:pPr>
      <w:r>
        <w:t>VLAN auto-match: if any group has an empty UUID, VLANs are fetched via GET /vlans/detail/?limit=0 and matched by name (e.g. APP, DATA, LAN — case-insensitive). An explicitly entered UUID in the topology always wins.</w:t>
      </w:r>
    </w:p>
    <w:p>
      <w:pPr>
        <w:pStyle w:val="ListNumber"/>
      </w:pPr>
      <w:r>
        <w:t>For each VM (sequentially, progress streamed via Socket.IO deploy-progress):</w:t>
      </w:r>
    </w:p>
    <w:p>
      <w:r>
        <w:t>- a blank data drive is created (media: disk, size = diskGB),</w:t>
      </w:r>
    </w:p>
    <w:p>
      <w:r>
        <w:t>- then a server (NOT auto-started): cpu = cpuGHz×1000 MHz, mem = ramGB×1024×1024 B, one virtio drive (boot_order:1, dev_channel:0:0), vnc_password:"".</w:t>
      </w:r>
    </w:p>
    <w:p>
      <w:r>
        <w:t>- NIC:</w:t>
      </w:r>
    </w:p>
    <w:p>
      <w:r>
        <w:t>- normal VM → one NIC on its group's VLAN (UUID from topology / auto-match by name / TCLOUD_VLAN_UUID env); without a VLAN → DHCP (ip_v4_conf:{conf:"dhcp"}).</w:t>
      </w:r>
    </w:p>
    <w:p>
      <w:r>
        <w:t>- OPNsense firewall → one NIC with a public IP (ip_v4_conf:{conf:"dhcp"}, vlan:null), not a VLAN.</w:t>
      </w:r>
    </w:p>
    <w:p>
      <w:pPr>
        <w:pStyle w:val="ListNumber"/>
      </w:pPr>
      <w:r>
        <w:t>After every server creation, the firewall's public IP is attempted (wan-ip event).</w:t>
      </w:r>
    </w:p>
    <w:p>
      <w:pPr>
        <w:pStyle w:val="Heading3"/>
      </w:pPr>
      <w:r>
        <w:rPr>
          <w:b/>
        </w:rPr>
        <w:t>Start a server with VNC</w:t>
      </w:r>
    </w:p>
    <w:p>
      <w:r>
        <w:t>Every created VM is listed in the UI with a Start button (Socket.IO start-server):</w:t>
      </w:r>
    </w:p>
    <w:p>
      <w:pPr>
        <w:pStyle w:val="ListNumber"/>
      </w:pPr>
      <w:r>
        <w:t>login, POST /servers/{uuid}/action/?do=start,</w:t>
      </w:r>
    </w:p>
    <w:p>
      <w:pPr>
        <w:pStyle w:val="ListNumber"/>
      </w:pPr>
      <w:r>
        <w:t>wait for status running (waitServerRunning, timeout 90 s, poll 2 s),</w:t>
      </w:r>
    </w:p>
    <w:p>
      <w:pPr>
        <w:pStyle w:val="ListNumber"/>
      </w:pPr>
      <w:r>
        <w:t>getServer → vnc_password, POST /servers/{uuid}/action/?do=open_vnc → vnc_url (fresh on every open),</w:t>
      </w:r>
    </w:p>
    <w:p>
      <w:pPr>
        <w:pStyle w:val="ListNumber"/>
      </w:pPr>
      <w:r>
        <w:t>for OPNsense additionally getServerPublicIp → public IPv4 (after the first DHCP handshake; may be empty).</w:t>
      </w:r>
    </w:p>
    <w:p>
      <w:r>
        <w:t>The UI shows the VNC URL and password with a copy button.</w:t>
      </w:r>
    </w:p>
    <w:p>
      <w:pPr>
        <w:pStyle w:val="Heading3"/>
      </w:pPr>
      <w:r>
        <w:rPr>
          <w:b/>
        </w:rPr>
        <w:t>Notes / limitations</w:t>
      </w:r>
    </w:p>
    <w:p>
      <w:pPr>
        <w:pStyle w:val="ListBullet"/>
      </w:pPr>
      <w:r>
        <w:t>Rapid repeated logins to the same account may hit a transient 401 on verify_otp — wait and retry.</w:t>
      </w:r>
    </w:p>
    <w:p>
      <w:pPr>
        <w:pStyle w:val="ListBullet"/>
      </w:pPr>
      <w:r>
        <w:t>getServerPublicIp: the address may be a UUID resolved via GET /ips/{uuid}/; a NIC without a VLAN gets DHCP.</w:t>
      </w:r>
    </w:p>
    <w:p>
      <w:pPr>
        <w:pStyle w:val="ListBullet"/>
      </w:pPr>
      <w:r>
        <w:t>More advanced provisioning (attaching the disk as the boot disk, etc.) is outside the scope of this client.</w:t>
      </w:r>
    </w:p>
    <w:p>
      <w:pPr>
        <w:pStyle w:val="Heading2"/>
      </w:pPr>
      <w:r>
        <w:rPr>
          <w:b/>
        </w:rPr>
        <w:t>LLM fallback (optional)</w:t>
      </w:r>
    </w:p>
    <w:p>
      <w:r>
        <w:t>When RAG has no answer, the Node app calls fallback/fastapi_app.py, which queries GPT-5.5 through the OpenAI API.</w:t>
      </w:r>
    </w:p>
    <w:p>
      <w:r>
        <w:t>`bash</w:t>
      </w:r>
    </w:p>
    <w:p>
      <w:pPr>
        <w:pStyle w:val="Heading1"/>
      </w:pPr>
      <w:r>
        <w:rPr>
          <w:b/>
        </w:rPr>
        <w:t>Start the FastAPI fallback</w:t>
      </w:r>
    </w:p>
    <w:p>
      <w:r>
        <w:t>cd /home/jelastic/ai-chat &amp;&amp; python3 -m uvicorn fallback.fastapi_app:app --host 0.0.0.0 --port 8001</w:t>
      </w:r>
    </w:p>
    <w:p>
      <w:pPr>
        <w:pStyle w:val="Heading1"/>
      </w:pPr>
      <w:r>
        <w:rPr>
          <w:b/>
        </w:rPr>
        <w:t>Or persistently via screen:</w:t>
      </w:r>
    </w:p>
    <w:p>
      <w:r>
        <w:t>screen -dmS fastapi bash -c 'cd /home/jelastic/ai-chat &amp;&amp; python3 -m uvicorn fallback.fastapi_app:app --host 0.0.0.0 --port 8001'</w:t>
      </w:r>
    </w:p>
    <w:p>
      <w:r>
        <w:t>`</w:t>
      </w:r>
    </w:p>
    <w:p>
      <w:r>
        <w:t>Configuration in .env: OPENAI_API_KEY, OPENAI_MODEL (default gpt-5.5), FALLBACK_URL (default http://localhost:8001), LLM_ENDPOINT / LLM_MODEL (vLLM/TGI OpenAI-compatible endpoint for RAG), LLM_CONTEXT_TOKENS (default 8192 — the server sizes the RAG context to that budget; on HTTP 400 = context-length rejection from vLLM, raise it).</w:t>
      </w:r>
    </w:p>
    <w:p>
      <w:r>
        <w:t>&gt; Note: the server auto-rewrites virtuozzo.com/application-management-docs/ URLs in AI responses to the local /docs/ proxy (the site blocks bots — the proxy fetches with a browser User-Agent).</w:t>
      </w:r>
    </w:p>
    <w:p>
      <w:pPr>
        <w:pStyle w:val="Heading2"/>
      </w:pPr>
      <w:r>
        <w:rPr>
          <w:b/>
        </w:rPr>
        <w:t>Features (UI overview)</w:t>
      </w:r>
    </w:p>
    <w:p>
      <w:pPr>
        <w:pStyle w:val="ListBullet"/>
      </w:pPr>
      <w:r>
        <w:t>Topology editor— add/remove groups and VMs, edit CPU/RAM/Disk/tier in a modal, rename groups (✎), per-group VLANs (click a connector), tweak PaaS parameters (cloudlet size, tier prices, utilization, commitment).</w:t>
      </w:r>
    </w:p>
    <w:p>
      <w:pPr>
        <w:pStyle w:val="ListBullet"/>
      </w:pPr>
      <w:r>
        <w:t>Costing / month— pooled Resource Pool calculation with a commitment-length switch (IaaS and PaaS independently).</w:t>
      </w:r>
    </w:p>
    <w:p>
      <w:pPr>
        <w:pStyle w:val="ListBullet"/>
      </w:pPr>
      <w:r>
        <w:t>Import PaaS → IaaS / Export PaaS— see sections 5 and 6.</w:t>
      </w:r>
    </w:p>
    <w:p>
      <w:pPr>
        <w:pStyle w:val="ListBullet"/>
      </w:pPr>
      <w:r>
        <w:t>Save / Load topology — localStorage; Download / Upload topology— .topo.json.</w:t>
      </w:r>
    </w:p>
    <w:p>
      <w:pPr>
        <w:pStyle w:val="ListBullet"/>
      </w:pPr>
      <w:r>
        <w:t>Export Excel— binary .xlsx (SheetJS) with an embedded topology screenshot.</w:t>
      </w:r>
    </w:p>
    <w:p>
      <w:pPr>
        <w:pStyle w:val="ListBullet"/>
      </w:pPr>
      <w:r>
        <w:t>Deploy to IaaS + Start(VNC) — see the deployment section.</w:t>
      </w:r>
    </w:p>
    <w:p>
      <w:pPr>
        <w:pStyle w:val="Heading2"/>
      </w:pPr>
      <w:r>
        <w:rPr>
          <w:b/>
        </w:rPr>
        <w:t>API</w:t>
      </w:r>
    </w:p>
    <w:tbl>
      <w:tblPr>
        <w:tblStyle w:val="TableGrid"/>
        <w:tblW w:type="auto" w:w="0"/>
        <w:tblLook w:firstColumn="1" w:firstRow="1" w:lastColumn="0" w:lastRow="0" w:noHBand="0" w:noVBand="1" w:val="04A0"/>
      </w:tblPr>
      <w:tblGrid>
        <w:gridCol w:w="2880"/>
        <w:gridCol w:w="2880"/>
        <w:gridCol w:w="2880"/>
      </w:tblGrid>
      <w:tr>
        <w:tc>
          <w:tcPr>
            <w:tcW w:type="dxa" w:w="2880"/>
          </w:tcPr>
          <w:p>
            <w:r>
              <w:t>Endpoint</w:t>
            </w:r>
          </w:p>
        </w:tc>
        <w:tc>
          <w:tcPr>
            <w:tcW w:type="dxa" w:w="2880"/>
          </w:tcPr>
          <w:p>
            <w:r>
              <w:t>Method</w:t>
            </w:r>
          </w:p>
        </w:tc>
        <w:tc>
          <w:tcPr>
            <w:tcW w:type="dxa" w:w="2880"/>
          </w:tcPr>
          <w:p>
            <w:r>
              <w:t>Description</w:t>
            </w:r>
          </w:p>
        </w:tc>
      </w:tr>
      <w:tr>
        <w:tc>
          <w:tcPr>
            <w:tcW w:type="dxa" w:w="2880"/>
          </w:tcPr>
          <w:p>
            <w:r>
              <w:t>/api/architecture</w:t>
            </w:r>
          </w:p>
        </w:tc>
        <w:tc>
          <w:tcPr>
            <w:tcW w:type="dxa" w:w="2880"/>
          </w:tcPr>
          <w:p>
            <w:r>
              <w:t>GET</w:t>
            </w:r>
          </w:p>
        </w:tc>
        <w:tc>
          <w:tcPr>
            <w:tcW w:type="dxa" w:w="2880"/>
          </w:tcPr>
          <w:p>
            <w:r>
              <w:t>default architecture + computed nodes + costing</w:t>
            </w:r>
          </w:p>
        </w:tc>
      </w:tr>
      <w:tr>
        <w:tc>
          <w:tcPr>
            <w:tcW w:type="dxa" w:w="2880"/>
          </w:tcPr>
          <w:p>
            <w:r>
              <w:t>/api/cost</w:t>
            </w:r>
          </w:p>
        </w:tc>
        <w:tc>
          <w:tcPr>
            <w:tcW w:type="dxa" w:w="2880"/>
          </w:tcPr>
          <w:p>
            <w:r>
              <w:t>POST</w:t>
            </w:r>
          </w:p>
        </w:tc>
        <w:tc>
          <w:tcPr>
            <w:tcW w:type="dxa" w:w="2880"/>
          </w:tcPr>
          <w:p>
            <w:r>
              <w:t>computes nodes + price from a submitted architecture ({} → default)</w:t>
            </w:r>
          </w:p>
        </w:tc>
      </w:tr>
      <w:tr>
        <w:tc>
          <w:tcPr>
            <w:tcW w:type="dxa" w:w="2880"/>
          </w:tcPr>
          <w:p>
            <w:r>
              <w:t>/api/import-paas</w:t>
            </w:r>
          </w:p>
        </w:tc>
        <w:tc>
          <w:tcPr>
            <w:tcW w:type="dxa" w:w="2880"/>
          </w:tcPr>
          <w:p>
            <w:r>
              <w:t>POST</w:t>
            </w:r>
          </w:p>
        </w:tc>
        <w:tc>
          <w:tcPr>
            <w:tcW w:type="dxa" w:w="2880"/>
          </w:tcPr>
          <w:p>
            <w:r>
              <w:t>converts a PaaS export into an IaaS topology + costing</w:t>
            </w:r>
          </w:p>
        </w:tc>
      </w:tr>
      <w:tr>
        <w:tc>
          <w:tcPr>
            <w:tcW w:type="dxa" w:w="2880"/>
          </w:tcPr>
          <w:p>
            <w:r>
              <w:t>/api/export-paas</w:t>
            </w:r>
          </w:p>
        </w:tc>
        <w:tc>
          <w:tcPr>
            <w:tcW w:type="dxa" w:w="2880"/>
          </w:tcPr>
          <w:p>
            <w:r>
              <w:t>POST</w:t>
            </w:r>
          </w:p>
        </w:tc>
        <w:tc>
          <w:tcPr>
            <w:tcW w:type="dxa" w:w="2880"/>
          </w:tcPr>
          <w:p>
            <w:r>
              <w:t>converts the IaaS topology back into a Jelastic export</w:t>
            </w:r>
          </w:p>
        </w:tc>
      </w:tr>
      <w:tr>
        <w:tc>
          <w:tcPr>
            <w:tcW w:type="dxa" w:w="2880"/>
          </w:tcPr>
          <w:p>
            <w:r>
              <w:t>/api/pricing</w:t>
            </w:r>
          </w:p>
        </w:tc>
        <w:tc>
          <w:tcPr>
            <w:tcW w:type="dxa" w:w="2880"/>
          </w:tcPr>
          <w:p>
            <w:r>
              <w:t>GET</w:t>
            </w:r>
          </w:p>
        </w:tc>
        <w:tc>
          <w:tcPr>
            <w:tcW w:type="dxa" w:w="2880"/>
          </w:tcPr>
          <w:p>
            <w:r>
              <w:t>CPU/RAM/disk rates + commitment options</w:t>
            </w:r>
          </w:p>
        </w:tc>
      </w:tr>
      <w:tr>
        <w:tc>
          <w:tcPr>
            <w:tcW w:type="dxa" w:w="2880"/>
          </w:tcPr>
          <w:p>
            <w:r>
              <w:t>/api/deploy</w:t>
            </w:r>
          </w:p>
        </w:tc>
        <w:tc>
          <w:tcPr>
            <w:tcW w:type="dxa" w:w="2880"/>
          </w:tcPr>
          <w:p>
            <w:r>
              <w:t>POST</w:t>
            </w:r>
          </w:p>
        </w:tc>
        <w:tc>
          <w:tcPr>
            <w:tcW w:type="dxa" w:w="2880"/>
          </w:tcPr>
          <w:p>
            <w:r>
              <w:t>deploys all nodes to T-Cloud</w:t>
            </w:r>
          </w:p>
        </w:tc>
      </w:tr>
      <w:tr>
        <w:tc>
          <w:tcPr>
            <w:tcW w:type="dxa" w:w="2880"/>
          </w:tcPr>
          <w:p>
            <w:r>
              <w:t>Socket.IO recalc</w:t>
            </w:r>
          </w:p>
        </w:tc>
        <w:tc>
          <w:tcPr>
            <w:tcW w:type="dxa" w:w="2880"/>
          </w:tcPr>
          <w:p>
            <w:r>
              <w:t>—</w:t>
            </w:r>
          </w:p>
        </w:tc>
        <w:tc>
          <w:tcPr>
            <w:tcW w:type="dxa" w:w="2880"/>
          </w:tcPr>
          <w:p>
            <w:r>
              <w:t>client sends an architecture → serialized computed + costing</w:t>
            </w:r>
          </w:p>
        </w:tc>
      </w:tr>
      <w:tr>
        <w:tc>
          <w:tcPr>
            <w:tcW w:type="dxa" w:w="2880"/>
          </w:tcPr>
          <w:p>
            <w:r>
              <w:t>Socket.IO deploy</w:t>
            </w:r>
          </w:p>
        </w:tc>
        <w:tc>
          <w:tcPr>
            <w:tcW w:type="dxa" w:w="2880"/>
          </w:tcPr>
          <w:p>
            <w:r>
              <w:t>—</w:t>
            </w:r>
          </w:p>
        </w:tc>
        <w:tc>
          <w:tcPr>
            <w:tcW w:type="dxa" w:w="2880"/>
          </w:tcPr>
          <w:p>
            <w:r>
              <w:t>client sends an architecture → streams deploy-progress → summary</w:t>
            </w:r>
          </w:p>
        </w:tc>
      </w:tr>
      <w:tr>
        <w:tc>
          <w:tcPr>
            <w:tcW w:type="dxa" w:w="2880"/>
          </w:tcPr>
          <w:p>
            <w:r>
              <w:t>Socket.IO start-server</w:t>
            </w:r>
          </w:p>
        </w:tc>
        <w:tc>
          <w:tcPr>
            <w:tcW w:type="dxa" w:w="2880"/>
          </w:tcPr>
          <w:p>
            <w:r>
              <w:t>—</w:t>
            </w:r>
          </w:p>
        </w:tc>
        <w:tc>
          <w:tcPr>
            <w:tcW w:type="dxa" w:w="2880"/>
          </w:tcPr>
          <w:p>
            <w:r>
              <w:t>login + start a server → vnc_url + vnc_password (+ wan-ip)</w:t>
            </w:r>
          </w:p>
        </w:tc>
      </w:tr>
      <w:tr>
        <w:tc>
          <w:tcPr>
            <w:tcW w:type="dxa" w:w="2880"/>
          </w:tcPr>
          <w:p>
            <w:r>
              <w:t>Socket.IO stop-server</w:t>
            </w:r>
          </w:p>
        </w:tc>
        <w:tc>
          <w:tcPr>
            <w:tcW w:type="dxa" w:w="2880"/>
          </w:tcPr>
          <w:p>
            <w:r>
              <w:t>—</w:t>
            </w:r>
          </w:p>
        </w:tc>
        <w:tc>
          <w:tcPr>
            <w:tcW w:type="dxa" w:w="2880"/>
          </w:tcPr>
          <w:p>
            <w:r>
              <w:t>login + stop a server</w:t>
            </w:r>
          </w:p>
        </w:tc>
      </w:tr>
    </w:tbl>
    <w:p/>
    <w:p>
      <w:pPr>
        <w:pStyle w:val="Heading2"/>
      </w:pPr>
      <w:r>
        <w:rPr>
          <w:b/>
        </w:rPr>
        <w:t>Structure</w:t>
      </w:r>
    </w:p>
    <w:p>
      <w:r>
        <w:t>`</w:t>
      </w:r>
    </w:p>
    <w:p>
      <w:r>
        <w:t>server.js               Entrypoint — Express + Socket.IO, REST endpoints, default.topo.json</w:t>
      </w:r>
    </w:p>
    <w:p>
      <w:r>
        <w:t>lib/architecture.js     VM topology model + default architecture + PaaS import/export</w:t>
      </w:r>
    </w:p>
    <w:p>
      <w:r>
        <w:t>lib/pricing.js          Resource Pool rates + cost calculation (IaaS and cloudlets)</w:t>
      </w:r>
    </w:p>
    <w:p>
      <w:r>
        <w:t>lib/tcloud.js           T-Cloud/CloudSigma client (login 2FA/TOTP, drive/server, VNC, VLANs)</w:t>
      </w:r>
    </w:p>
    <w:p>
      <w:r>
        <w:t>lib/deploy.js           Deploy runner (login once, VM by VM, progress reporting)</w:t>
      </w:r>
    </w:p>
    <w:p>
      <w:r>
        <w:t>public/                 Static UI (index.html, main.js, style.css)</w:t>
      </w:r>
    </w:p>
    <w:p>
      <w:r>
        <w:t>default.topo.json       Optional startup topology (loaded at startup instead of the default)</w:t>
      </w:r>
    </w:p>
    <w:p>
      <w:r>
        <w:t>codenow/config/         Env variable templates for CodeNow</w:t>
      </w:r>
    </w:p>
    <w:p>
      <w:r>
        <w:t>`</w:t>
      </w:r>
    </w:p>
    <w:p>
      <w:pPr>
        <w:pStyle w:val="Heading2"/>
      </w:pPr>
      <w:r>
        <w:rPr>
          <w:b/>
        </w:rPr>
        <w:t>License</w:t>
      </w:r>
    </w:p>
    <w:p>
      <w:r>
        <w:t>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