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ПРОЄКТ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МІНІСТЕРСТВО ОХОРОНИ ЗДОРОВ'Я УКРАЇНИ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НАКАЗ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від 01 червня 2026 року № ___</w:t>
      </w:r>
    </w:p>
    <w:p>
      <w:pPr>
        <w:spacing w:before="120" w:after="200"/>
        <w:jc w:val="center"/>
      </w:pPr>
      <w:r>
        <w:rPr>
          <w:rFonts w:ascii="Times New Roman" w:hAnsi="Times New Roman"/>
          <w:b/>
          <w:sz w:val="24"/>
        </w:rPr>
        <w:t>Про доповнення наказу Міністерства охорони здоров’я України від 07 квітня 2026 року № 473</w:t>
      </w:r>
    </w:p>
    <w:p>
      <w:pPr>
        <w:spacing w:before="8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Відповідно до статей 14, 34 Закону України «Про основи законодавства України про охорону здоров’я», підпункту 3 пункту 4 Положення про Міністерство охорони здоров’я України, затвердженого постановою Кабінету Міністрів України від 25 березня 2015 року № 267, з метою забезпечення стандартизованого підходу до молекулярно-генетичної та імуногістохімічної діагностики злоякісних новоутворень відповідно до сучасних міжнародних стандартів (NCCN, ESMO, CAP)</w:t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4"/>
        </w:rPr>
        <w:t>НАКАЗУЮ:</w:t>
      </w:r>
    </w:p>
    <w:p>
      <w:pPr>
        <w:spacing w:before="40" w:after="80"/>
        <w:ind w:left="709" w:hanging="709"/>
        <w:jc w:val="both"/>
      </w:pPr>
      <w:r>
        <w:rPr>
          <w:rFonts w:ascii="Times New Roman" w:hAnsi="Times New Roman"/>
          <w:sz w:val="24"/>
        </w:rPr>
        <w:t>1.</w:t>
        <w:tab/>
        <w:t>Доповнити наказ Міністерства охорони здоров’я України від 07 квітня 2026 року № 473 «Про затвердження довідників для кодування та формування онкологічного діагнозу» додатком 4 «Перелік рекомендованих молекулярно-генетичних та імуногістохімічних досліджень при встановленні онкологічного діагнозу», що додається.</w:t>
      </w:r>
    </w:p>
    <w:p>
      <w:pPr>
        <w:spacing w:before="40" w:after="80"/>
        <w:ind w:left="709" w:hanging="709"/>
        <w:jc w:val="both"/>
      </w:pPr>
      <w:r>
        <w:rPr>
          <w:rFonts w:ascii="Times New Roman" w:hAnsi="Times New Roman"/>
          <w:sz w:val="24"/>
        </w:rPr>
        <w:t>2.</w:t>
        <w:tab/>
        <w:t>Керівникам закладів охорони здоров’я, що надають спеціалізовану онкологічну допомогу, забезпечити виконання вимог додатку 4 при формуванні онкологічного діагнозу.</w:t>
      </w:r>
    </w:p>
    <w:p>
      <w:pPr>
        <w:spacing w:before="40" w:after="80"/>
        <w:ind w:left="709" w:hanging="709"/>
        <w:jc w:val="both"/>
      </w:pPr>
      <w:r>
        <w:rPr>
          <w:rFonts w:ascii="Times New Roman" w:hAnsi="Times New Roman"/>
          <w:sz w:val="24"/>
        </w:rPr>
        <w:t>3.</w:t>
        <w:tab/>
        <w:t>Контроль за виконанням цього наказу покласти на заступника Міністра охорони здоров’я України відповідно до розподілу обов’язків.</w:t>
      </w:r>
    </w:p>
    <w:p>
      <w:pPr>
        <w:spacing w:before="240" w:after="120"/>
        <w:jc w:val="left"/>
      </w:pPr>
      <w:r>
        <w:rPr>
          <w:rFonts w:ascii="Times New Roman" w:hAnsi="Times New Roman"/>
          <w:sz w:val="24"/>
        </w:rPr>
        <w:t>Міністр охорони здоров’я України</w:t>
      </w:r>
      <w:r>
        <w:rPr>
          <w:rFonts w:ascii="Times New Roman" w:hAnsi="Times New Roman"/>
          <w:sz w:val="24"/>
        </w:rPr>
        <w:tab/>
        <w:tab/>
        <w:tab/>
        <w:tab/>
        <w:t>[підпис]</w:t>
      </w:r>
    </w:p>
    <w:p>
      <w:pPr>
        <w:spacing w:before="160" w:after="160"/>
        <w:pBdr>
          <w:bottom w:val="single" w:sz="6" w:space="1" w:color="000000"/>
        </w:pBdr>
      </w:pPr>
    </w:p>
    <w:p>
      <w:pPr>
        <w:spacing w:before="0" w:after="80"/>
        <w:jc w:val="right"/>
      </w:pPr>
      <w:r>
        <w:rPr>
          <w:rFonts w:ascii="Times New Roman" w:hAnsi="Times New Roman"/>
          <w:b/>
          <w:sz w:val="24"/>
        </w:rPr>
        <w:t>ЗАТВЕРДЖЕНО</w:t>
      </w:r>
    </w:p>
    <w:p>
      <w:pPr>
        <w:spacing w:before="0" w:after="80"/>
        <w:jc w:val="right"/>
      </w:pPr>
      <w:r>
        <w:rPr>
          <w:rFonts w:ascii="Times New Roman" w:hAnsi="Times New Roman"/>
          <w:b w:val="0"/>
          <w:sz w:val="24"/>
        </w:rPr>
        <w:t>Наказ Міністерства охорони здоров’я України</w:t>
      </w:r>
    </w:p>
    <w:p>
      <w:pPr>
        <w:spacing w:before="0" w:after="200"/>
        <w:jc w:val="right"/>
      </w:pPr>
      <w:r>
        <w:rPr>
          <w:rFonts w:ascii="Times New Roman" w:hAnsi="Times New Roman"/>
          <w:b w:val="0"/>
          <w:sz w:val="24"/>
        </w:rPr>
        <w:t>від 01 червня 2026 року № ___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4"/>
        </w:rPr>
        <w:t>Додаток 4 до наказу МОЗ від 07.04.2026 № 473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8"/>
        </w:rPr>
        <w:t>ПЕРЕЛІК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sz w:val="24"/>
        </w:rPr>
        <w:t>рекомендованих молекулярно-генетичних та імуногістохімічних досліджень при встановленні онкологічного діагнозу</w:t>
      </w:r>
    </w:p>
    <w:tbl>
      <w:tblGrid>
        <w:gridCol w:w="453"/>
        <w:gridCol w:w="1134"/>
        <w:gridCol w:w="1134"/>
        <w:gridCol w:w="1984"/>
        <w:gridCol w:w="2268"/>
        <w:gridCol w:w="1984"/>
        <w:gridCol w:w="1984"/>
        <w:gridCol w:w="2381"/>
      </w:tblGrid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ICD-O-3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ICD-10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Нозологія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Загальноклінічні та серологічні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ІГХ та морфологія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Молекулярна генетика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1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Ключові молекулярні маркери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8070/3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C00-C14, C30-C32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Плоскоклітинна карцинома голови та шиї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PD-L1 Combined Positive Score (CPS) (CPS ≥20)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8500/3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C07, C08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Карцинома слинних залоз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8070/3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C15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Карцинома стравоходу (плоскоклітинна + аденокарцинома)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PD-L1 Combined Positive Score (CPS) (CPS ≥10 (22C3 assay))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8140/3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C16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Аденокарцинома шлунка / GEJ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MSI за ПЛР або NGS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HER2 (солідні пухлини) (positive (IHC 3+ OR IHC 2+/ISH+) on archival or fresh biopsy); PD-L1 Combined Positive Score (CPS) (CPS ≥5)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8140/3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C18-C20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Колоректальний рак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Карциноембріональний антиген (сироватка); Розширений біохімічний аналіз крові;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Тестування BRAF V600E; Статус MSI за ПЛР або NGS; Комплексна NGS-панель пухлини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BRAF V600E (BRAF V600E negative (BRAF V600E patients should be on enc...); Статус HER2 (солідні пухлини) (amplified — IHC 3+ preferred (highest ORR in DESTINY-CRC0...); KRAS G12C мутація (G12C-positive (covalent inhibitor target)); Статус мікросателітної нестабільності (MSI-H or dMMR (treatment-defining; supersedes other 2L ch...); Статус мутацій RAS (KRAS / NRAS exons 2-4) (RAS wild-type at baseline; ctDNA RAS wild-type at rechall...)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8170/3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C22.0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Гепатоцелюлярна карцинома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Серологія HBV: HBsAg, anti-HBc, anti-HBs; Антитіла до HCV;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Альфа-фетопротеїн (сироватка) (AFP baseline (ng/mL) — required as risk-stratifier and tr...); Статус HBV (HBsAg + анти-HBc серологія) (any value valid (categorical etiology gate; HBsAg+ or ant...); Статус HCV (антитіла анти-HCV) (any value valid (categorical etiology gate; anti-HCV+ → r...)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8160/3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C22.1, C24.0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Холангіокарцинома (рак жовчних проток)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8500/3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C25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Протокова аденокарцинома підшлункової залози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Зародкова патогенна варіація BRCA1/BRCA2 (pathogenic)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8046/3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C34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Недрібноклітинний рак легені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Перебудова / фузія ALK (positive); Мутація BRAF V600E (BRAF V600E confirmed by NGS or PCR); Статус мутацій EGFR (NSCLC actionable) (positive); Статус HER2 (солідні пухлини) (HER2-activating mutation confirmed by NGS (kinase-domain...); KRAS G12C мутація (positive); Альтерації MET (пропуск екзону 14 або амплифікація) (MET exon 14 skipping mutation confirmed by NGS (RNA-NGS p...); Фузія генів NTRK1/2/3 (NTRK1/2/3 fusion confirmed by RNA-NGS (preferred — captur...); PD-L1 Tumor Proportion Score (TPS) (&lt;50); Альтерації RET (фузія або активуюча точкова мутація) (RET fusion confirmed by RNA-NGS (preferred) or FISH; KIF5...); Фузія ROS1 (ROS1 rearrangement confirmed (RNA-NGS preferred); G2032R...); Тумор-мутаційне навантаження (≥10 mut/Mb (Foundation One CDx or comparable))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8041/3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C34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Дрібноклітинний рак легені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9220/3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C40, C41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Хондросаркома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8720/3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C43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Шкірна меланома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BRAF V600E (positive); Мутація KIT (Activating mutation in exon 11 (e.g., L576P, K642E) or ex...)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9540/3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C47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Злоякісна пухлина оболонки периферичного нерва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8936/3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C49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Гастроінтестинальна стромальна пухлина (GIST)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KIT (exon 11 OR exon 9 mutation positive); Мутація PDGFRA (exon 12 / 14 / non-D842V exon 18 mutation 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8814/3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C49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Інфантильна фібросаркома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Фузія генів NTRK1/2/3 (positive)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8500/3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C50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Інвазивний рак молочної залози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AKT1 E17K (E17K mutation); Гермінальний статус мутацій BRCA1/2 (positive); Зародкова патогенна варіація BRCA1/BRCA2 (pathogenic OR likely-pathogenic germline variant); Мутація ESR1 (ліганд-зв'язуючий домен) (ligand-binding-domain mutation present (ctDNA preferred —...); Естрогеновий рецептор (ЕР) (negative); Статус HER2 (солідні пухлини) (negative); Гарячі мутації PIK3CA (activating hotspot mutation present (tissue NGS or ctDNA)); Прогестероновий рецептор (ПР) (positive); Втрата функції PTEN (loss-of-function (biallelic NGS or complete IHC loss))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8070/3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C53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Карцинома шийки матки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ВПЛ (вірус папіломи людини) (HPV-positive (typically HPV-16/18) — vast majority of cer...); BIO-PD-L1-CPS (PD-L1 CPS ≥1 (KEYNOTE-826 enrolled all CPS but benefit gr...)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8380/3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C54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Карцинома ендометрія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MMR-білків (ІГХ) (deficient)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8441/3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C56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Карцинома яєчників (переважно high-grade серозна)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Сироватковий CA-125; Загальний аналіз крові з лейкоцитарною формулою; Розширений біохімічний аналіз крові;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Зародкова патогенна варіація BRCA1/BRCA2 (pathogenic OR likely pathogenic (germline OR somatic)); Експресія фолатного рецептора α (FRα / FOLR1) пухлиною (high (≥75% of viable tumor cells with ≥2+ membrane staini...); Статус дефіциту гомологічної рекомбінації (HRD-positive)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8140/3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C61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Аденокарцинома передміхурової залози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Бал Глісона / ISUP grade group (Gleason / ISUP grade group (1-5) — mandatory stratifier;...); Панель генів гомологічної рекомбінаційної репарації (HRR) (positive); Простатичний специфічний антиген (ПСА) (PSA baseline + on-treatment per PCWG3 — mandatory respons...); ПСМА-ПЕТ-авідність (positive)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8312/3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C64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Нирково-клітинна карцинома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гена VHL (germline_pathogenic)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8120/3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C67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Уротеліальна карцинома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9440/3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C71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Гліобластома (IDH-WT, WHO grade 4)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метилювання промотора MGMT (MGMT methylation status (methylated / unmethylated) — req...)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9400/3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C71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Гліома низького ступеня (WHO grade 2 — IDH-мутантна)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BIO-IDH1-MUTATION (IDH1 R132H mutation (or non-canonical IDH1/IDH2) — define...)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8345/3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C73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Медулярна карцинома щитовидної залози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Альтерації RET (фузія або активуюча точкова мутація) (RET mutation positive (somatic M918T OR germline MEN2-ass...)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26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8021/3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C73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Анапластична карцинома щитовидної залози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8260/3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C73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Папілярна карцинома щитовидної залози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9659/3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C81.0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Нодулярна лімфоцит-домінантна B-клітинна лімфома (раніше NLPHL)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(CD20+))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29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9650/3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C81.9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Класична лімфома Ходжкіна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(CD20 typically negative in CHL Reed-Sternberg cells; CD15...); Статус HBV (HBsAg + анти-HBc серологія) (any value valid (categorical etiology gate; HBsAg+ or ant...); Статус ВІЛ (4-е покоління Ag/Ab скринінг) (any value valid (categorical etiology gate; HIV+ → A+AVD...)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9690/3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C82.0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Фолікулярна 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(CD20+)); Мутація EZH2 Y641 (positive (Y641 mutation) — predicts higher response (ORR...); Прогностичний індекс при фолікулярній лімфомі (FLIPI) (FLIPI 0-2 (low/intermediate-risk) — watch-and-wait reserv...)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9699/3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C83.0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Нодальна лімфома маргінальної зони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(CD20+)); РНК HCV (кількісна ПЛР) (detectable (positive viral load — confirms active HCV inf...); Статус HCV (антитіла анти-HCV) (anti-HCV-positive (categorical screen — pairs with BIO-HC...)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9689/3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C83.0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Селезінкова лімфома маргінальної зони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Лактатдегідрогеназа (ЛДГ);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(CD20+)); РНК HCV (кількісна ПЛР) (detectable (positive viral load — confirms active HCV inf...); Статус HCV (антитіла анти-HCV) (anti-HCV-positive (categorical screen — pairs with BIO-HC...)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9673/3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C83.1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Лімфома з клітин зони мантії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Cyclin D1 (CCND1) — ІГХ (positive — confirm MCL diagnosis at relapse if not alread...); Експресія CD20 (імуногістохімія) (positive (CD20+)); Експресія CD5 (ІГХ / проточна цитометрія) (positive (CD5+) — part of original MCL immunophenotype co...); MIPI — прогностичний індекс для MCL (MIPI at relapse provides updated prognostic context; high...); t(11;14)(q13;q32) IGH/CCND1 (FISH) (positive by FISH — diagnostic confirmation of classical MCL)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9680/3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C83.3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Дифузна B-великоклітинна лімфома, неуточнена (DLBCL NOS)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CMV (IgG + IgM); Серологія EBV (VCA IgG/IgM, EBNA, EA);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BCL2 (імуногістохімія) (BCL2-IHC ≥50% combined with MYC-IHC ≥40% defines double-e...); Експресія CD20 (імуногістохімія) (CD20 positive (CD20+)); Експресія CD79b (мішень полатузумабу ведотину) — ІГХ (positive (target of polatuzumab vedotin; CD79b expressed...); Класифікація за клітиною походження (Hans IHC алгоритм) (GCB or non-GCB by Hans algorithm — non-GCB has worse R-CH...); Міжнародний прогностичний індекс (IPI) для DLBCL (IPI 0-5; R-CHOP preferred for IPI 0-1; for IPI ≥2 see Pol...); Статус HBV (HBsAg + анти-HBc серологія) (any value valid (categorical etiology gate; HBsAg+ or ant...); Статус HCV (антитіла анти-HCV) (any value valid (categorical etiology gate; anti-HCV+ → r...); Статус ВІЛ (4-е покоління Ag/Ab скринінг) (any value valid (categorical etiology gate; HIV+ → cART t...)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9680/3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C83.3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Високозлоякісна B-клітинна лімфома з MYC + BCL2/BCL6 (double-hit / triple-hit)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BCL2 rearrangement (t(14;18) IGH/BCL2 — FISH break-apart) (positive (FISH) — classic MYC partner in HGBL-DH); BCL6 rearrangement (3q27) — FISH break-apart (positive (FISH) — alternative MYC partner); Експресія CD20 (імуногістохімія) (positive (CD20+)); Double-hit (MYC + BCL2/BCL6 rearrangements) (positive); MYC rearrangement (8q24) — FISH break-apart (positive (FISH break-apart) — HGBL-DH classification requ...)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9687/3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C83.7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Лімфома Беркітта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CMV (IgG + IgM);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вагітність); Ниркова функція з eGFR (креатинін, сечовина, електроліти);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at relapse biopsy); Статус ВІЛ (4-е покоління Ag/Ab скринінг) (any value valid (categorical etiology gate; CALGB 10002 i...); MYC rearrangement (8q24) — FISH break-apart (positive (Burkitt-defining))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9700/3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C84.0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Грибоподібний мікоз / Синдром Сезарі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CD30 (імуногістохімія) (positive)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9705/3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C84.4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Ангіоімунобластна T-клітинна лімфома / нодальна TFH-лімфома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EBV (VCA IgG/IgM, EBNA, EA);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CD30 (імуногістохімія) (positive); Мутація RHOA G17V (RHOA G17V hotspot mutation — AITL hallmark (~60-70% of ca...)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9702/3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C84.4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Периферична T-клітинна лімфома, неуточнена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CMV (IgG + IgM); Серологія EBV (VCA IgG/IgM, EBNA, EA);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вагітність); Ниркова функція з eGFR (креатинін, сечовина, електроліти)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9714/3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C84.6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Анапластична великоклітинна лімфома (системна)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вагітність); Ниркова функція з eGFR (креатинін, сечовина, електроліти)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ALK rearrangement (найчастіше NPM1-ALK t(2;5)) (positive (NPM1-ALK most common; other ALK partners also r...); Експресія CD30 (імуногістохімія) (positive)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9716/3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C84.7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Гепатоспленічна T-клітинна 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Коагулограма (ПТ/МНВ, АЧТЧ, фібриноген);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9679/3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C85.2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Первинна медіастинальна (тимічна) B-великоклітинна 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(CD20+))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9680/3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C85.7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Первинна дифузна великоклітинна B-клітинна лімфома центральної нервової системи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 (CD20+))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9719/3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C86.0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Екстранодальна NK/T-клітинна лімфома, назального типу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Коагулограма (ПТ/МНВ, АЧТЧ, фібриноген); Кількісне визначення ДНК EBV (ПЛР);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вагітність); Ниркова функція з eGFR (креатинін, сечовина, електроліти)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Вірусне навантаження EBV-DNA (кількісна ПЛР, плазма) (quantitative copies/mL (or IU/mL via WHO standard) on EDT...)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9717/3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C86.2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Ентеропатія-асоційована T-клітинна 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9671/3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C88.0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Макроглобулінемія Вальденстрема / Лімфоплазмоцитарна 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CXCR4 (WHIM-подібна) (positive (WHIM-mutated) preferred — BTKi response weaker;...); Мутація MYD88 L265P (positive)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9699/3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C88.4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Лімфома маргінальної зони, асоційована з HCV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Лактатдегідрогеназа (ЛДГ); Печінкові проби (АЛТ, АСТ, білірубін, ЛФ, ГГТП, альбумін)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РНК HCV (кількісна ПЛР) (detectable (positive viral load))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9732/3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C90.0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Множинна мієлома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CMV (IgG + IgM); Серологія EBV (VCA IgG/IgM, EBNA, EA);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HBV (HBsAg + анти-HBc серологія) (any value valid (categorical etiology gate; HBsAg+ or ant...); Статус HCV (антитіла анти-HCV) (any value valid (categorical etiology gate; anti-HCV+ → r...)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49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9811/3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C91.0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B-лімфобластна лейкемія/лімфома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Цільові молекулярні: BCR-ABL1, JAK2 V617F, CALR, MPL; Загальний аналіз крові з лейкоцитарною формулою; Розширений біохімічний аналіз крові; Серологія CMV (IgG + IgM); Коагулограма (ПТ/МНВ, АЧТЧ, фібриноген);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9837/3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C91.0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T-лімфобластна лейкемія/лімфома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Коагулограма (ПТ/МНВ, АЧТЧ, фібриноген); Серологія HBV: HBsAg, anti-HBc, anti-HBs; Серологія ВІЛ (антитіла HIV-1/2 + p24); Лактатдегідрогеназа (ЛДГ); Печінкові проби (АЛТ, АСТ, білірубін, ЛФ, ГГТП, альбумін); β-ХГЛ (тест на вагітність); Ниркова функція з eGFR (креатинін, сечовина, електроліти);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9823/3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C91.1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Хронічна лімфоцитарна лейкемія / Дрібноклітинна лімфоцитарна 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Бета-2-мікроглобулін; 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CD23 (ІГХ / проточна цитометрія) (positive (CD23+) — distinguishes CLL from MCL on Matutes...); Експресія CD5 (ІГХ / проточна цитометрія) (positive (CD5+) — part of CLL diagnostic immunophenotype...); Мутація NOTCH1 (PEST domain) (NOTCH1-mutated CLL prognostic stratifier; not a BTKi excl...)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C91.4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Волосатоклітинний лейкоз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Серологія ВІЛ (антитіла HIV-1/2 + p24); Печінкові проби (АЛТ, АСТ, білірубін, ЛФ, ГГТП, альбумін); Мазок периферичної крові (мануальний перегляд)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9827/3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C91.5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Дорослий T-клітинний лейкоз/лімфома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HBV: HBsAg, anti-HBc, anti-HBs; Антитіла до HCV; Серологія ВІЛ (антитіла HIV-1/2 + p24); Серологія HTLV-1/2 (антитіла) + підтверджувальний тест;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Статус HTLV-1 (антитіла + підтвердження) (seropositive (HTLV-1 confirmatory Western blot/LIA + clon...)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9834/3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C91.6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T-клітинна пролімфоцитарна лейкемія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Серологія CMV (IgG + IgM);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вагітність); Ниркова функція з eGFR (креатинін, сечовина, електроліти);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лімфоїдних мутацій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CD52 (ІГХ / проточна цитометрія) (Often retained at relapse but verify; CD52-loss escape me...)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9861/3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C92.0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Гострий мієлоїдний лейкоз (не-APL)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Цільові молекулярні: BCR-ABL1, JAK2 V617F, CALR, MPL; Загальний аналіз крові з лейкоцитарною формулою; Розширений біохімічний аналіз крові; Серологія CMV (IgG + IgM); Коагулограма (ПТ/МНВ, АЧТЧ, фібриноген); D-димер;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Мазок периферичної крові (мануальний перегляд); β-ХГЛ (тест на вагітність);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56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9863/3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C92.1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Хронічна мієлоїдна лейкемія (BCR-ABL1)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Цільові молекулярні: BCR-ABL1, JAK2 V617F, CALR, MPL; Загальний аналіз крові з лейкоцитарною формулою; Розширений біохімічний аналіз крові; Серологія CMV (IgG + IgM); Коагулограма (ПТ/МНВ, АЧТЧ, фібриноген);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9866/3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C92.4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Гострий промієлоцитарний лейкоз (PML-RARA)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Коагулограма (ПТ/МНВ, АЧТЧ, фібриноген); D-димер;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Мазок периферичної крові (мануальний перегляд); β-ХГЛ (тест на вагітність);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58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9740/3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C96.2, D47.09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Поширений системний мастоцитоз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KIT (D816V positive)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59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9950/3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D45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Справжня поліцитемія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Цільові молекулярні: BCR-ABL1, JAK2 V617F, CALR, MPL; Загальний аналіз крові з лейкоцитарною формулою; Розширений біохімічний аналіз крові; Коагулограма (ПТ/МНВ, АЧТЧ, фібриноген); D-димер;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Мазок периферичної крові (мануальний перегляд); β-ХГЛ (тест на вагітність);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Мутація JAK2 (V617F або екзон 12) (JAK2 V617F positive (PV diagnosis criterion))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9983/3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D46.2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Мієлодиспластичні синдроми, високий ризик (IPSS-R високий / дуже високий; включає MDS-EB)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Вітамін B12 + фолієва кислота; Загальний аналіз крові з лейкоцитарною формулою; Розширений біохімічний аналіз крові; Серологія CMV (IgG + IgM); Коагулограма (ПТ/МНВ, АЧТЧ, фібриноген);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Мазок периферичної крові (мануальний перегляд); β-ХГЛ (тест на вагітність); Сечова кислота сироватки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9989/3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D46.9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Мієлодиспластичні синдроми, низький ризик (IPSS-R дуже низький / низький / проміжний)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Вітамін B12 + фолієва кислота; Загальний аналіз крові з лейкоцитарною формулою; Розширений біохімічний аналіз крові; Серологія HBV: HBsAg, anti-HBc, anti-HBs; Антитіла до HCV;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9971/3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D47.Z1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Посттрансплантаційні лімфопроліферативні захворювання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Загальний аналіз крові з лейкоцитарною формулою; Розширений біохімічний аналіз крові; Кількісне визначення ДНК EBV (ПЛР);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Імуногістохімія CD20;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Експресія CD20 (імуногістохімія) (positive); Вірусне навантаження EBV-DNA (кількісна ПЛР, плазма) (quantitative copies/mL (or IU/mL via WHO standard) on EDT...); Статус HBV (HBsAg + анти-HBc серологія) (any value valid (categorical etiology gate; HBsAg+ or ant...)</w:t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9962/3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D47.3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Есенціальна тромбоцитемія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Цільові молекулярні: BCR-ABL1, JAK2 V617F, CALR, MPL; Загальний аналіз крові з лейкоцитарною формулою; Розширений біохімічний аналіз крові; Коагулограма (ПТ/МНВ, АЧТЧ, фібриноген); D-димер; Серологія HBV: HBsAg, anti-HBc, anti-HBs; Лактатдегідрогеназа (ЛДГ); Печінкові проби (АЛТ, АСТ, білірубін, ЛФ, ГГТП, альбумін); Мазок периферичної крові (мануальний перегляд);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9961/3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D47.4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Первинний мієлофіброз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Цільові молекулярні: BCR-ABL1, JAK2 V617F, CALR, MPL; Загальний аналіз крові з лейкоцитарною формулою; Розширений біохімічний аналіз крові; Серологія CMV (IgG + IgM); Коагулограма (ПТ/МНВ, АЧТЧ, фібриноген); D-димер; Серологія HBV: HBsAg, anti-HBc, anti-HBs; Антитіла до HCV; Серологія ВІЛ (антитіла HIV-1/2 + p24); Лактатдегідрогеназа (ЛДГ); Печінкові проби (АЛТ, АСТ, білірубін, ЛФ, ГГТП, альбумін); Мазок периферичної крові (мануальний перегляд); β-ХГЛ (тест на вагітність)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Аспірат кісткового мозку (цитологія + flow + цитогенетика + молекулярка); Трепанобіопсія кісткового мозку (core-біопсія); Імунофенотипування методом проточної цитометрії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FISH-панель (специфічна для нозології); Класична цитогенетика (каріотип); NGS-панель мієлоїдних мутацій (AML/MDS/MPN)</w:t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5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65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8825/1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D48.1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Запальна міофібробластична пухлина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8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8"/>
              </w:rPr>
              <w:t>Перебудова / фузія ALK (positive)</w:t>
            </w:r>
          </w:p>
        </w:tc>
      </w:tr>
    </w:tbl>
    <w:p/>
    <w:p>
      <w:pPr>
        <w:spacing w:before="200" w:after="80"/>
        <w:jc w:val="left"/>
      </w:pPr>
      <w:r>
        <w:rPr>
          <w:rFonts w:ascii="Times New Roman" w:hAnsi="Times New Roman"/>
          <w:b/>
          <w:sz w:val="22"/>
        </w:rPr>
        <w:t>Джерела</w:t>
      </w:r>
    </w:p>
    <w:p>
      <w:pPr>
        <w:spacing w:before="0" w:after="80"/>
        <w:jc w:val="both"/>
      </w:pPr>
      <w:r>
        <w:rPr>
          <w:rFonts w:ascii="Times New Roman" w:hAnsi="Times New Roman"/>
          <w:sz w:val="20"/>
        </w:rPr>
        <w:t>Перелік сформовано на підставі наступних міжнародних клінічних настанов, на які посилаються індикації бази знань OpenOnco: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SRC-CAPITELLO291-TURNER-2023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SRC-ESMO-AML-2020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SRC-ESMO-BREAST-EARLY-2024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SRC-ESMO-BREAST-METASTATIC-2024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SRC-ESMO-BURKITT-2024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SRC-ESMO-CERVICAL-2024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SRC-ESMO-CLL-2024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SRC-ESMO-CML-2017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SRC-ESMO-COLON-2024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SRC-ESMO-CTCL-2024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SRC-ESMO-DLBCL-2024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SRC-ESMO-ENDOMETRIAL-2022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SRC-ESMO-ESOPHAGEAL-2024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SRC-ESMO-FL-2024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SRC-ESMO-GASTRIC-2024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SRC-ESMO-HODGKIN-2024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SRC-ESMO-MCL-2024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SRC-ESMO-MDS-2021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SRC-ESMO-MELANOMA-2024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SRC-ESMO-MM-2023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SRC-ESMO-MPN-2015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SRC-ESMO-MZL-2024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SRC-ESMO-NSCLC-EARLY-2024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SRC-ESMO-NSCLC-METASTATIC-2024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SRC-ESMO-OVARIAN-2024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SRC-ESMO-PANCREATIC-2024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SRC-ESMO-PROSTATE-2024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SRC-ESMO-PTCL-2024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SRC-ESMO-RCC-2024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SRC-ESMO-SCLC-2021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SRC-ESMO-WM-2024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SRC-NCCN-AML-2025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SRC-NCCN-BCELL-2025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SRC-NCCN-BLADDER-2025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SRC-NCCN-BREAST-2025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SRC-NCCN-CERVICAL-2025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SRC-NCCN-CNS-2025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SRC-NCCN-COLON-2025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SRC-NCCN-ESOPHAGEAL-2025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SRC-NCCN-GASTRIC-2025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SRC-NCCN-GIST-2025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SRC-NCCN-HCC-2025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SRC-NCCN-HNSCC-2025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SRC-NCCN-KIDNEY-2025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SRC-NCCN-MELANOMA-2025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SRC-NCCN-MM-2025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SRC-NCCN-MPN-2025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SRC-NCCN-NSCLC-2025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SRC-NCCN-OVARIAN-2025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SRC-NCCN-PANCREATIC-2025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SRC-NCCN-PROSTATE-2025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SRC-NCCN-SARCOMA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SRC-NCCN-SCLC-2025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SRC-NCCN-SM-2025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SRC-NCCN-THYROID-2025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sz w:val="18"/>
        </w:rPr>
        <w:t>• SRC-NCCN-UTERINE-2025</w:t>
      </w:r>
    </w:p>
    <w:p>
      <w:pPr>
        <w:spacing w:before="240" w:after="0"/>
        <w:jc w:val="center"/>
      </w:pPr>
      <w:r>
        <w:rPr>
          <w:rFonts w:ascii="Times New Roman" w:hAnsi="Times New Roman"/>
          <w:i/>
          <w:sz w:val="18"/>
        </w:rPr>
        <w:t>Підготовлено: OpenOnco (openonco.info). Джерела: NCCN Clinical Practice Guidelines in Oncology, ESMO Clinical Practice Guidelines, CAP Cancer Protocols. Версія 1.0, травень 2026.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