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A0A0A"/>
          <w:sz w:val="72"/>
          <w:szCs w:val="72"/>
        </w:rPr>
        <w:t xml:space="preserve">SPARR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A90D9"/>
          <w:sz w:val="36"/>
          <w:szCs w:val="36"/>
        </w:rPr>
        <w:t xml:space="preserve">Apparel Division</w:t>
      </w:r>
    </w:p>
    <w:p>
      <w:pPr>
        <w:pBdr>
          <w:bottom w:val="single" w:color="4A90D9" w:sz="4" w:space="1"/>
        </w:pBdr>
        <w:spacing w:after="120" w:before="12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A0A0A"/>
          <w:sz w:val="40"/>
          <w:szCs w:val="40"/>
        </w:rPr>
        <w:t xml:space="preserve">BUSINESSPLAN</w:t>
      </w:r>
    </w:p>
    <w:p>
      <w:pPr>
        <w:spacing w:before="6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Kampfsportbekleidung – Produktion Türkei – Vertrieb Deutschland</w:t>
      </w:r>
    </w:p>
    <w:p>
      <w:pPr>
        <w:spacing w:after="0" w:before="6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22"/>
                <w:szCs w:val="22"/>
              </w:rPr>
              <w:t xml:space="preserve">Vertrauliches Investorenmemorandum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Mai 2026  |  Romeo Georgiadis  |  romeoundjuliamarketing@gmail.com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1. Executive Summary</w:t>
      </w:r>
    </w:p>
    <w:p>
      <w:pPr>
        <w:pBdr>
          <w:bottom w:val="single" w:color="4A90D9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Sparr ist eine React-Native-Kampfsport-App mit aktivem Abonnentenstamm, Trainingslogging, Ernährungsplanung, Team-Features und einem gamifizierten Punktesystem. Die App verbindet Täusende von Kampfsportlern digital – exakt die Zielgruppe, für die wir jetzt eine eigene Bekleidungslinie aufbauen.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Mit der Sparr Apparel Division erweitern wir das Geschäftsmodell um einen physischen Produktkanal: hochwertige Kampfsportkleidung, produziert in der Türkei, vertrieben in Deutschland. Der Launch umfasst 5 SKUs – zwei T-Shirts, zwei Oberteile (Compression/Rash Guard) und eine Muay-Thai-Hose. Die Produkte werden über den eigenen Online-Shop, die Sparr-App und ausgewählte Kampfsport-Gyms vertrieben.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638"/>
      </w:tblGrid>
      <w:tr>
        <w:tc>
          <w:tcPr>
            <w:tcW w:type="dxa" w:w="23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Startinvestition</w:t>
            </w:r>
          </w:p>
          <w:p>
            <w:r>
              <w:rPr>
                <w:rFonts w:ascii="Arial" w:cs="Arial" w:eastAsia="Arial" w:hAnsi="Arial"/>
                <w:b/>
                <w:bCs/>
                <w:color w:val="0A0A0A"/>
                <w:sz w:val="30"/>
                <w:szCs w:val="30"/>
              </w:rPr>
              <w:t xml:space="preserve">€ 25.000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Pilot-Phase</w:t>
            </w:r>
          </w:p>
        </w:tc>
        <w:tc>
          <w:tcPr>
            <w:tcW w:type="dxa" w:w="23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Bruttomarge</w:t>
            </w:r>
          </w:p>
          <w:p>
            <w:r>
              <w:rPr>
                <w:rFonts w:ascii="Arial" w:cs="Arial" w:eastAsia="Arial" w:hAnsi="Arial"/>
                <w:b/>
                <w:bCs/>
                <w:color w:val="0A0A0A"/>
                <w:sz w:val="30"/>
                <w:szCs w:val="30"/>
              </w:rPr>
              <w:t xml:space="preserve">ca. 68 %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pro Produkt</w:t>
            </w:r>
          </w:p>
        </w:tc>
        <w:tc>
          <w:tcPr>
            <w:tcW w:type="dxa" w:w="23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Break-even</w:t>
            </w:r>
          </w:p>
          <w:p>
            <w:r>
              <w:rPr>
                <w:rFonts w:ascii="Arial" w:cs="Arial" w:eastAsia="Arial" w:hAnsi="Arial"/>
                <w:b/>
                <w:bCs/>
                <w:color w:val="0A0A0A"/>
                <w:sz w:val="30"/>
                <w:szCs w:val="30"/>
              </w:rPr>
              <w:t xml:space="preserve">Monat 8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konservativ</w:t>
            </w:r>
          </w:p>
        </w:tc>
        <w:tc>
          <w:tcPr>
            <w:tcW w:type="dxa" w:w="2638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Zielumsatz Jahr 3</w:t>
            </w:r>
          </w:p>
          <w:p>
            <w:r>
              <w:rPr>
                <w:rFonts w:ascii="Arial" w:cs="Arial" w:eastAsia="Arial" w:hAnsi="Arial"/>
                <w:b/>
                <w:bCs/>
                <w:color w:val="0A0A0A"/>
                <w:sz w:val="30"/>
                <w:szCs w:val="30"/>
              </w:rPr>
              <w:t xml:space="preserve">€ 480.000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Skaliert auf 12 SKUs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2. Das Unternehmen – Sparr</w:t>
      </w:r>
    </w:p>
    <w:p>
      <w:pPr>
        <w:pBdr>
          <w:bottom w:val="single" w:color="4A90D9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2.1 Die App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Sparr ist eine native Kampfsport-App (React Native + Expo), die folgende Kernfunktionen bietet: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Trainingslogging mit automatischer Punkteberechnung (gamifiziertes XP-System)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Ernährungsplanung auf Basis von BMR/TDEE-Berechnung (Mifflin-St-Jeor), Makro-Tracking, Wassertracking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Team- und Studio-Features: Coach-System, Peer-Vouching, Anwesenheits-Bestätigung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Sparring-Map: Geo-basierte Suche nach Sparringpartnern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Wochengewichts-Check-in mit KI-gestützter Ernährungsanpassung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Abonnement-Modell: Individual- und Studio-Plan via RevenueCat / StoreKit (iOS)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2.2 Warum Apparel?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Die App-Community ist bereits vorhanden und kaufbereit. Kampfsportler sind markentreu – wer täglich mit einer App trainiert, trägt auch deren Merch. Apparel ist der natürliche nächste Schritt: physisches Produkt, das die digitale Marke sichtbar macht, zusätzliche Einnahmen generiert und die Community-Bindung vertieft.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Marken wie Phantom Athletics (Umsatz: mehrere Millionen EUR/Jahr), Venum (Adidas-Akquisition 2021) und Shiv Naresh beweisen: Kampfsportbekleidung ist ein profitabler, skalierbarer Markt – auch ohne Sport-Großkonzern im Rücken.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3. Marktanalyse</w:t>
      </w:r>
    </w:p>
    <w:p>
      <w:pPr>
        <w:pBdr>
          <w:bottom w:val="single" w:color="4A90D9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3.1 Globaler Markt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Der globale Fitness-Bekleidungsmarkt wurde 2025 auf USD 210 Mrd. geschätzt und wächst mit einer CAGR von 5,2 % bis 2033 auf USD 455,5 Mrd. Europa hält mit USD 61,8 Mrd. einen Marktanteil von 28 %.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3.2 Deutschland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Der deutsche Sportbekleidungsmarkt erreicht 2026 ein Volumen von ca. USD 0,68 Mrd. Kampfsport – insbesondere MMA, Muay Thai, BJJ – ist einer der am schnellsten wachsenden Nischensegmente. Die Zahl der Kampfsport-Studios in Deutschland wächst kontinuierlich; allein Muay Thai verzeichnet seit 2020 eine Verdopplung der aktiven Vereinsmitglieder.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3.3 Zielgruppe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Primär: Männer und Frauen, 18–35 Jahre, aktive Kampfsportler (Muay Thai, MMA, Kickboxen, BJJ), digital-affin, bereit für Premium-Sportbekleidung zwischen € 35 und € 70 pro Artikel.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Sekundär: Fitness-Enthusiasten ohne Kampfsport-Hintergrund, die funktionale und stilvolle Sportkleidung suchen.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3.4 Wettbewerb &amp; Positionierung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3238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Herkunft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Preisniveau (Hose)</w:t>
            </w:r>
          </w:p>
        </w:tc>
        <w:tc>
          <w:tcPr>
            <w:tcW w:type="dxa" w:w="3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Differenzierung Sparr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Phantom Athletics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Österreich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€ 49–69</w:t>
            </w:r>
          </w:p>
        </w:tc>
        <w:tc>
          <w:tcPr>
            <w:tcW w:type="dxa" w:w="32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Sparr: App-Community + Direktvertrieb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Venum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Frankreich (Adidas)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€ 39–69</w:t>
            </w:r>
          </w:p>
        </w:tc>
        <w:tc>
          <w:tcPr>
            <w:tcW w:type="dxa" w:w="32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Sparr: haptisch + digital verzahnt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4Fighter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Deutschland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€ 19–39</w:t>
            </w:r>
          </w:p>
        </w:tc>
        <w:tc>
          <w:tcPr>
            <w:tcW w:type="dxa" w:w="32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Sparr: Premium-Positionierung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Fairtex / Top King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Thailand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€ 35–55</w:t>
            </w:r>
          </w:p>
        </w:tc>
        <w:tc>
          <w:tcPr>
            <w:tcW w:type="dxa" w:w="32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Sparr: Produktion EU-näher (Türkei)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4. Produkt-Kollektion – Launch-Line</w:t>
      </w:r>
    </w:p>
    <w:p>
      <w:pPr>
        <w:pBdr>
          <w:bottom w:val="single" w:color="4A90D9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Der Launch umfasst 5 SKUs in je 4 Größen (S, M, L, XL). Die Kollektion ist bewusst schlank gehalten, um Lagerrisiko zu minimieren und Qualitätskontrolle zu gewährleisten.</w:t>
      </w:r>
    </w:p>
    <w:p>
      <w:pPr>
        <w:spacing w:after="0" w:before="1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500"/>
        <w:gridCol w:w="1500"/>
        <w:gridCol w:w="2538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Produkt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VK-Preis</w:t>
            </w:r>
          </w:p>
        </w:tc>
        <w:tc>
          <w:tcPr>
            <w:tcW w:type="dxa" w:w="25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EK-Preis (Türkei)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T-01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Sparr Training Tee – Classic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180g Baumwolle/Polyester-Mix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€ 34,99</w:t>
            </w:r>
          </w:p>
        </w:tc>
        <w:tc>
          <w:tcPr>
            <w:tcW w:type="dxa" w:w="25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€ 9,00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T-02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Sparr Training Tee – Mesh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Funktions-Mesh, feuchtigkeitsregulierend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€ 39,99</w:t>
            </w:r>
          </w:p>
        </w:tc>
        <w:tc>
          <w:tcPr>
            <w:tcW w:type="dxa" w:w="25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€ 11,00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O-01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Sparr Compression Top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Elastan-Polyester (4-Way-Stretch)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€ 49,99</w:t>
            </w:r>
          </w:p>
        </w:tc>
        <w:tc>
          <w:tcPr>
            <w:tcW w:type="dxa" w:w="25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€ 14,00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O-02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Sparr Rash Guard LS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Polyester/Elastan, UPF 50+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€ 54,99</w:t>
            </w:r>
          </w:p>
        </w:tc>
        <w:tc>
          <w:tcPr>
            <w:tcW w:type="dxa" w:w="25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€ 16,00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H-01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Sparr Muay Thai Shorts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Satin-Polyester, elastischer Bund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€ 59,99</w:t>
            </w:r>
          </w:p>
        </w:tc>
        <w:tc>
          <w:tcPr>
            <w:tcW w:type="dxa" w:w="25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€ 17,00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EK-Preis inkl. Labels, Verpackung, anteilige Logistik (Türkei → Deutschland). Basiert auf Herstellerrichtpreisen für MOQ 100 Einheiten pro SKU (Produktionsstandort Istanbul / Bursa).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5. Produktion &amp; Lieferkette</w:t>
      </w:r>
    </w:p>
    <w:p>
      <w:pPr>
        <w:pBdr>
          <w:bottom w:val="single" w:color="4A90D9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5.1 Produktionsstandort Türkei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Die Türkei ist der drittgrößte Textillieferant Europas mit 2025 erreichten Exportvolumina von USD 26,2 Mrd. Produktionszentren Istanbul, Bursa, Denizli und Izmir bieten: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Kurze Lieferzeiten nach Deutschland (ca. 3–5 Werktage Fracht, 5–8 Wochen Produktionsvorlauf)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Niedrige MOQs ab 50–100 Einheiten pro Modell/Farbe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Hohe Qualitätsstandards für funktionale Sportkleidung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Private-Label-Fähigkeit: eigene Tags, Barcodes, Verpackung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Kosteneffizient: 30–50 % günstiger als EU-Produktion bei ähnlicher Qualität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5.2 Lieferkette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838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  <w:tc>
          <w:tcPr>
            <w:tcW w:type="dxa" w:w="38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Zeitaufwand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Design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Technische Skizzen, Materialwahl, Farbpalette</w:t>
            </w:r>
          </w:p>
        </w:tc>
        <w:tc>
          <w:tcPr>
            <w:tcW w:type="dxa" w:w="3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2–3 Wochen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Sampling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Muster anfertigen, Fit-Test, Korrekturen</w:t>
            </w:r>
          </w:p>
        </w:tc>
        <w:tc>
          <w:tcPr>
            <w:tcW w:type="dxa" w:w="3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3–4 Wochen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Produktion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Erstauflage je 100 Stück pro SKU (500 gesamt)</w:t>
            </w:r>
          </w:p>
        </w:tc>
        <w:tc>
          <w:tcPr>
            <w:tcW w:type="dxa" w:w="3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4–6 Wochen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Qualitätskontrolle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Prüfung vor Versand (vor Ort oder Dienstleister)</w:t>
            </w:r>
          </w:p>
        </w:tc>
        <w:tc>
          <w:tcPr>
            <w:tcW w:type="dxa" w:w="3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 Woche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Versand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LKW-Fracht Istanbul → Deutschland</w:t>
            </w:r>
          </w:p>
        </w:tc>
        <w:tc>
          <w:tcPr>
            <w:tcW w:type="dxa" w:w="3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5–7 Tage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Lagerung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Fulfilment-Dienstleister in Deutschland</w:t>
            </w:r>
          </w:p>
        </w:tc>
        <w:tc>
          <w:tcPr>
            <w:tcW w:type="dxa" w:w="38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laufend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5.3 Skalierung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Ab Charge 2 (Monat 4–6): Erhöhung auf 300–500 Stück pro SKU, dadurch Senkung des EK um ca. 15–25 %. Ab Jahr 2 Einführung weiterer Farben und Kollektion-Drops (Quartalszyklus).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6. Geschäftsmodell &amp; Preisstruktur</w:t>
      </w:r>
    </w:p>
    <w:p>
      <w:pPr>
        <w:pBdr>
          <w:bottom w:val="single" w:color="4A90D9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6.1 Margenberechnung Launch-Kollektion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2200"/>
        <w:gridCol w:w="2000"/>
        <w:gridCol w:w="1338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Produkt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VK (EUR)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EK inkl. Log. (EUR)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Bruttomarge (EUR)</w:t>
            </w:r>
          </w:p>
        </w:tc>
        <w:tc>
          <w:tcPr>
            <w:tcW w:type="dxa" w:w="1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Marge %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Training Tee Classic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34,99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11,00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23,99</w:t>
            </w:r>
          </w:p>
        </w:tc>
        <w:tc>
          <w:tcPr>
            <w:tcW w:type="dxa" w:w="13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69 %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Training Tee Mesh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39,99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13,00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26,99</w:t>
            </w:r>
          </w:p>
        </w:tc>
        <w:tc>
          <w:tcPr>
            <w:tcW w:type="dxa" w:w="13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67 %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Compression Top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49,99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16,50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33,49</w:t>
            </w:r>
          </w:p>
        </w:tc>
        <w:tc>
          <w:tcPr>
            <w:tcW w:type="dxa" w:w="13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67 %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Rash Guard LS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54,99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19,00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35,99</w:t>
            </w:r>
          </w:p>
        </w:tc>
        <w:tc>
          <w:tcPr>
            <w:tcW w:type="dxa" w:w="13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65 %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Muay Thai Shorts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59,99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20,00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39,99</w:t>
            </w:r>
          </w:p>
        </w:tc>
        <w:tc>
          <w:tcPr>
            <w:tcW w:type="dxa" w:w="13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67 %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Ø / Gesamt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47,99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15,90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32,09</w:t>
            </w:r>
          </w:p>
        </w:tc>
        <w:tc>
          <w:tcPr>
            <w:tcW w:type="dxa" w:w="13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67 %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6.2 Vertriebskanäle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Direktvertrieb über eigenen Online-Shop (höchste Marge, volle Markenkontrolle)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Sparr-App: In-App-Shop-Integration, Cross-Promotion an Abonnenten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Amazon.de: Reichweite, aber 15–18 % Provision – sekundär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B2B: Studios &amp; Gyms (10 % Partnerrabatt, Mindestabnahme 10 Stück)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6.3 Digitale Verzahnung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Unique Selling Point: Sparr-Abonnenten erhalten 10 % Treuevorteil. Wer in der App einen Workout-Meilenstein erreicht, bekommt einen exklusiven Discount-Code. Kleidungsdesigns werden mit Community-Voting über die App gewählt – limitierte Drops für Top-Performer. Diese Integration macht Sparr Apparel einzigartig im deutschen Kampfsportmarkt.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7. Go-to-Market Strategie</w:t>
      </w:r>
    </w:p>
    <w:p>
      <w:pPr>
        <w:pBdr>
          <w:bottom w:val="single" w:color="4A90D9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7.1 Phase 1 – Pre-Launch (Monat 1–2)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Teaser-Kampagne in der Sparr-App und auf Social Media (Instagram, TikTok)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Waitlist mit Early-Bird-Rabatt (15 %) – Nachfrage messen vor Produktion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Muster an 5–10 Influencer/Coaches aus der App-Community schicken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Produktfotos und Kampagnenvideos in einem Kampfsport-Studio drehen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7.2 Phase 2 – Launch (Monat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Drop-Event in der Sparr-App: limitierte Erstauflage für Abonnenten 48h vor Public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TikTok-Content-Pipeline (Unboxing, Training-Footage, Behind-the-Scenes Türkei-Produktion)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Kooperation mit 2–3 deutschen Muay-Thai-Studios: Produkte im Studio-Shop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Google Ads &amp; Meta Ads: Retargeting auf App-User und Lookalike Audiences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7.3 Phase 3 – Skalierung (Monat 4–12)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Quartalszyklus: je 1 neues Modell oder neue Farbvariante pro Quartal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Amazon-Listing für Reichweite; eigener Shop bleibt primär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B2B-Akquise: 20+ Gym-Partner in DACH-Region bis Ende Jahr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Athleten-Sponsoring: 3–5 regional bekannte Kämpfer als Brand-Ambassadors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8. Finanzplan</w:t>
      </w:r>
    </w:p>
    <w:p>
      <w:pPr>
        <w:pBdr>
          <w:bottom w:val="single" w:color="4A90D9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8.1 Startinvestition (Pilot-Phase)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00"/>
        <w:gridCol w:w="3438"/>
      </w:tblGrid>
      <w:tr>
        <w:trPr>
          <w:tblHeader/>
        </w:trP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Betrag (EUR)</w:t>
            </w:r>
          </w:p>
        </w:tc>
        <w:tc>
          <w:tcPr>
            <w:tcW w:type="dxa" w:w="34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Anmerkung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Produktion (500 Stück, 5 SKUs)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7.950</w:t>
            </w:r>
          </w:p>
        </w:tc>
        <w:tc>
          <w:tcPr>
            <w:tcW w:type="dxa" w:w="3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EK inkl. Logistik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Sampling &amp; Mustererstellung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1.500</w:t>
            </w:r>
          </w:p>
        </w:tc>
        <w:tc>
          <w:tcPr>
            <w:tcW w:type="dxa" w:w="3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3–4 Muster pro SKU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Produktfotografie &amp; Videoproduktion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2.500</w:t>
            </w:r>
          </w:p>
        </w:tc>
        <w:tc>
          <w:tcPr>
            <w:tcW w:type="dxa" w:w="3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Studio-Shoot, Editing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Website / Online-Shop Setup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1.500</w:t>
            </w:r>
          </w:p>
        </w:tc>
        <w:tc>
          <w:tcPr>
            <w:tcW w:type="dxa" w:w="3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Shopify o.ä., Domain, Zahlungen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Marketing – Influencer &amp; Ads Launch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4.000</w:t>
            </w:r>
          </w:p>
        </w:tc>
        <w:tc>
          <w:tcPr>
            <w:tcW w:type="dxa" w:w="3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Meta, TikTok, Micro-Influencer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Packaging &amp; Branding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1.200</w:t>
            </w:r>
          </w:p>
        </w:tc>
        <w:tc>
          <w:tcPr>
            <w:tcW w:type="dxa" w:w="3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Tags, Tischlein, Versandbeutel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Fulfilment &amp; Lagerm. (6 Monate)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2.400</w:t>
            </w:r>
          </w:p>
        </w:tc>
        <w:tc>
          <w:tcPr>
            <w:tcW w:type="dxa" w:w="3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Dienstleister ca. € 400/Monat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Reserve / Unvorhergesehenes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3.950</w:t>
            </w:r>
          </w:p>
        </w:tc>
        <w:tc>
          <w:tcPr>
            <w:tcW w:type="dxa" w:w="3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15 % Puffer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GESAMT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25.000</w:t>
            </w:r>
          </w:p>
        </w:tc>
        <w:tc>
          <w:tcPr>
            <w:tcW w:type="dxa" w:w="34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Startinvestition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8.2 Umsatz- und Ertragsplanung (3 Jahre)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00"/>
        <w:gridCol w:w="2100"/>
        <w:gridCol w:w="2238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Kennzahl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Jahr 1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Jahr 2</w:t>
            </w:r>
          </w:p>
        </w:tc>
        <w:tc>
          <w:tcPr>
            <w:tcW w:type="dxa" w:w="2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Jahr 3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Verkaufte Einheiten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1.200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4.800</w:t>
            </w:r>
          </w:p>
        </w:tc>
        <w:tc>
          <w:tcPr>
            <w:tcW w:type="dxa" w:w="22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12.000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Durchschn. VK (EUR)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47,99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48,50</w:t>
            </w:r>
          </w:p>
        </w:tc>
        <w:tc>
          <w:tcPr>
            <w:tcW w:type="dxa" w:w="22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49,00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Bruttoumsatz (EUR)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57.588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232.800</w:t>
            </w:r>
          </w:p>
        </w:tc>
        <w:tc>
          <w:tcPr>
            <w:tcW w:type="dxa" w:w="22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588.000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COGS (EUR)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19.080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72.000</w:t>
            </w:r>
          </w:p>
        </w:tc>
        <w:tc>
          <w:tcPr>
            <w:tcW w:type="dxa" w:w="22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180.000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Bruttomarge (EUR)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38.508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160.800</w:t>
            </w:r>
          </w:p>
        </w:tc>
        <w:tc>
          <w:tcPr>
            <w:tcW w:type="dxa" w:w="22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408.000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Bruttomarge (%)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67 %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69 %</w:t>
            </w:r>
          </w:p>
        </w:tc>
        <w:tc>
          <w:tcPr>
            <w:tcW w:type="dxa" w:w="22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69 %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Marketing &amp; Ops (EUR)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22.000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60.000</w:t>
            </w:r>
          </w:p>
        </w:tc>
        <w:tc>
          <w:tcPr>
            <w:tcW w:type="dxa" w:w="22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120.000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EBIT (EUR)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16.508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100.800</w:t>
            </w:r>
          </w:p>
        </w:tc>
        <w:tc>
          <w:tcPr>
            <w:tcW w:type="dxa" w:w="22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288.000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EBIT-Marge (%)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29 %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43 %</w:t>
            </w:r>
          </w:p>
        </w:tc>
        <w:tc>
          <w:tcPr>
            <w:tcW w:type="dxa" w:w="22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49 %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Jahr 1: Pilotphase, Lernkurve, Community-Aufbau. Jahr 2: Skalierung auf 8 SKUs, 20+ Gym-Partner. Jahr 3: 12 SKUs, DACH-weiter Vertrieb, möglicher Wholesale in AT/CH.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8.3 Break-Even-Analyse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Bei durchschnittlicher Bruttomarge von € 32,09 pro Einheit und Fixkosten (Marketing + Ops) von ca. € 2.200/Monat im ersten Halbjahr benötigt Sparr Apparel ca. 69 verkaufte Einheiten pro Monat, um die laufenden Kosten zu decken. Bei Launch-Dynamik und App-Community (Übertragung 5 % der Abonnenten zu Erstkunden) ist Break-even im Monat 8 realistisch.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9. Investitionsbedarf &amp; Mittelverwendung</w:t>
      </w:r>
    </w:p>
    <w:p>
      <w:pPr>
        <w:pBdr>
          <w:bottom w:val="single" w:color="4A90D9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Wir suchen eine Erstinvestition von € 25.000 für die Pilot-Phase. Der Investor erhält dafür eine zu verhandelnde Beteiligung an der Apparel-Division oder eine umsatzbasierte Rückführung (Revenue Share) von X % bis zur Tilgung, danach reduzierten Equity-Anteil.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3138"/>
      </w:tblGrid>
      <w:tr>
        <w:trPr>
          <w:tblHeader/>
        </w:trP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Mittelverwendung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Betrag</w:t>
            </w:r>
          </w:p>
        </w:tc>
        <w:tc>
          <w:tcPr>
            <w:tcW w:type="dxa" w:w="31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Anteil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Produktion &amp; Logistik (Erstcharge)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€ 7.950</w:t>
            </w:r>
          </w:p>
        </w:tc>
        <w:tc>
          <w:tcPr>
            <w:tcW w:type="dxa" w:w="3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32 %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Sampling, Design, Branding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€ 5.200</w:t>
            </w:r>
          </w:p>
        </w:tc>
        <w:tc>
          <w:tcPr>
            <w:tcW w:type="dxa" w:w="3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21 %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Marketing &amp; Influencer (Monate 1–6)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€ 6.000</w:t>
            </w:r>
          </w:p>
        </w:tc>
        <w:tc>
          <w:tcPr>
            <w:tcW w:type="dxa" w:w="3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24 %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Fulfilment &amp; Lagerung (6 Monate)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€ 2.400</w:t>
            </w:r>
          </w:p>
        </w:tc>
        <w:tc>
          <w:tcPr>
            <w:tcW w:type="dxa" w:w="3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10 %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Technik (Shop, Integration App)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€ 1.500</w:t>
            </w:r>
          </w:p>
        </w:tc>
        <w:tc>
          <w:tcPr>
            <w:tcW w:type="dxa" w:w="3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6 %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Puffer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€ 1.950</w:t>
            </w:r>
          </w:p>
        </w:tc>
        <w:tc>
          <w:tcPr>
            <w:tcW w:type="dxa" w:w="31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8 %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Transparenz: Sämtliche Ausgaben werden monatlich dokumentiert und dem Investor berichtet. Exit-Option nach 24 Monaten zu bewertungsbasiertem Rückkauf vorgesehen.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10. Risiken &amp; Mitigationsmaßnahmen</w:t>
      </w:r>
    </w:p>
    <w:p>
      <w:pPr>
        <w:pBdr>
          <w:bottom w:val="single" w:color="4A90D9" w:sz="4" w:space="1"/>
        </w:pBdr>
        <w:spacing w:after="120" w:before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638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Wahrscheinlichkeit</w:t>
            </w:r>
          </w:p>
        </w:tc>
        <w:tc>
          <w:tcPr>
            <w:tcW w:type="dxa" w:w="4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A0A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Geringer Absatz Pilot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mittel</w:t>
            </w:r>
          </w:p>
        </w:tc>
        <w:tc>
          <w:tcPr>
            <w:tcW w:type="dxa" w:w="4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Waitlist vor Produktion; Rückgaberecht; schnelle Preis-/Produktanpassung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Produktionsverzögerung Türkei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gering</w:t>
            </w:r>
          </w:p>
        </w:tc>
        <w:tc>
          <w:tcPr>
            <w:tcW w:type="dxa" w:w="4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Puffer 6 Wochen eingeplant; 2 Lieferanten qualifiziert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Wettbewerbsdruck (Phantom, Venum)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mittel</w:t>
            </w:r>
          </w:p>
        </w:tc>
        <w:tc>
          <w:tcPr>
            <w:tcW w:type="dxa" w:w="4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App-Community = exklusiver Kanal; niemand anderes hat das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Margendruck durch Versandkosten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gering</w:t>
            </w:r>
          </w:p>
        </w:tc>
        <w:tc>
          <w:tcPr>
            <w:tcW w:type="dxa" w:w="4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Versandpauschale € 4,99 ab € 60 frei; Fulfilment-Dienstleister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App-Wachstum stagniert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gering</w:t>
            </w:r>
          </w:p>
        </w:tc>
        <w:tc>
          <w:tcPr>
            <w:tcW w:type="dxa" w:w="4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Apparel steht eigenständig; zwei getrennte Revenue-Streams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11. Team &amp; Vision</w:t>
      </w:r>
    </w:p>
    <w:p>
      <w:pPr>
        <w:pBdr>
          <w:bottom w:val="single" w:color="4A90D9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Gründer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Romeo Georgiadis – Gründer &amp; CEO Sparr. Verantwortlich für Produktentwicklung (App), Marketing und Community-Aufbau. Direkte Kontakte in die Kampfsport-Szene Deutschland. Erfahrung in D2C-Marketing und Social Media.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Geplante Ergänzungen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Textile Sourcerin / Production Manager (Freelance, Türkei-Netzwerk)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Content Creator / Brand Photographer (Partnerschaft auf Provision-Basis)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Gym-Relations Manager (ab Monat 4, B2B-Akquise)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Vision 2028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Sparr Apparel wird die meistgetragene Kampfsportmarke in der DACH-Region unter digitalen Kampfsportlern. Ziel: 5.000 aktive Kunden, 20+ Gym-Partner, eigene saisonale Kollektionen, mögliche Expansion in eigenständigen Retail-Kanal. Die App und die Kleidungsmarke verstärken sich gegenseitig: Jeder neue Abonnent ist ein potenzieller Kleidungskosten; jedes Kleidungsstück ist eine laufende Markenwerb ung.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12. Fazit</w:t>
      </w:r>
    </w:p>
    <w:p>
      <w:pPr>
        <w:pBdr>
          <w:bottom w:val="single" w:color="4A90D9" w:sz="4" w:space="1"/>
        </w:pBdr>
        <w:spacing w:after="120" w:before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0A0A0A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Sparr Apparel verbindet das Beste aus zwei Welten: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D5E8F0"/>
                <w:sz w:val="22"/>
                <w:szCs w:val="22"/>
              </w:rPr>
              <w:t xml:space="preserve">Eine aktive, loyale digitale Community + hochwertige Kampfsportkleidung aus Türkei-Produktion.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Mit € 25.000 Investition und einem klaren Rollout-Plan erreichen wir Break-even in Monat 8 und € 288.000 EBIT im dritten Jahr.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Wir laden Sie ein, Teil dieser Reise zu sein. Für Rückfragen, detaillierte Finanztabellen oder ein persönliches Gespräch stehen wir jederzeit zur Verfügung.</w:t>
      </w:r>
    </w:p>
    <w:p>
      <w:pPr>
        <w:spacing w:after="0" w:before="80"/>
      </w:pPr>
      <w:r>
        <w:t xml:space="preserve"/>
      </w:r>
    </w:p>
    <w:p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Romeo Georgiadis  |  romeoundjuliamarketing@gmail.com</w:t>
      </w:r>
    </w:p>
    <w:sectPr>
      <w:headerReference w:type="default" r:id="rId7"/>
      <w:footerReference w:type="default" r:id="rId8"/>
      <w:pgSz w:w="11906" w:h="16838" w:orient="portrait"/>
      <w:pgMar w:top="1134" w:right="1134" w:bottom="15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tabs>
        <w:tab w:val="right" w:pos="9638"/>
      </w:tabs>
    </w:pPr>
    <w:r>
      <w:rPr>
        <w:rFonts w:ascii="Arial" w:cs="Arial" w:eastAsia="Arial" w:hAnsi="Arial"/>
        <w:color w:val="666666"/>
        <w:sz w:val="16"/>
        <w:szCs w:val="16"/>
      </w:rPr>
      <w:t xml:space="preserve">Sparr © 2026 – Alle Rechte vorbehalten</w:t>
    </w:r>
    <w:r>
      <w:rPr>
        <w:rFonts w:ascii="Arial" w:cs="Arial" w:eastAsia="Arial" w:hAnsi="Arial"/>
        <w:color w:val="666666"/>
        <w:sz w:val="16"/>
        <w:szCs w:val="16"/>
      </w:rPr>
      <w:t xml:space="preserve">	Seite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0D9" w:sz="2" w:space="1"/>
      </w:pBdr>
      <w:tabs>
        <w:tab w:val="right" w:pos="9638"/>
      </w:tabs>
    </w:pPr>
    <w:r>
      <w:rPr>
        <w:rFonts w:ascii="Arial" w:cs="Arial" w:eastAsia="Arial" w:hAnsi="Arial"/>
        <w:color w:val="666666"/>
        <w:sz w:val="18"/>
        <w:szCs w:val="18"/>
      </w:rPr>
      <w:t xml:space="preserve">SPARR Apparel Division – Businessplan 2026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4A90D9"/>
        <w:sz w:val="18"/>
        <w:szCs w:val="18"/>
      </w:rPr>
      <w:t xml:space="preserve">Vertraulich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A0A0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4A90D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2026-05-30T19:27:11.889Z</dcterms:created>
  <dcterms:modified xsi:type="dcterms:W3CDTF">2026-05-30T19:27:11.889Z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