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framePr w:w="2880" w:h="149" w:wrap="auto" w:vAnchor="page" w:hAnchor="page" w:x="8600" w:y="3481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March 2023 - May 2024, Jersey City, NJ (remote)</w:t>
      </w:r>
    </w:p>
    <w:p>
      <w:pPr>
        <w:jc w:val="center"/>
        <w:ind w:right="-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E3D50"/>
        </w:rPr>
        <w:t>Kyle Romero</w:t>
      </w:r>
    </w:p>
    <w:p>
      <w:pPr>
        <w:spacing w:after="0" w:line="11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781"/>
        <w:spacing w:after="0"/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 xml:space="preserve">Jersey City, NJ   </w:t>
      </w:r>
      <w:r>
        <w:rPr>
          <w:sz w:val="1"/>
          <w:szCs w:val="1"/>
          <w:color w:val="auto"/>
        </w:rPr>
        <w:drawing>
          <wp:inline distT="0" distB="0" distL="0" distR="0">
            <wp:extent cx="5715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kgromero@gmail.com   </w:t>
      </w:r>
      <w:r>
        <w:rPr>
          <w:sz w:val="1"/>
          <w:szCs w:val="1"/>
          <w:color w:val="auto"/>
        </w:rPr>
        <w:drawing>
          <wp:inline distT="0" distB="0" distL="0" distR="0">
            <wp:extent cx="51435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(281) 857-9006  </w:t>
      </w:r>
      <w:r>
        <w:rPr>
          <w:sz w:val="1"/>
          <w:szCs w:val="1"/>
          <w:color w:val="auto"/>
        </w:rPr>
        <w:drawing>
          <wp:inline distT="0" distB="0" distL="0" distR="0">
            <wp:extent cx="68580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in/kyleromero  </w:t>
      </w:r>
      <w:r>
        <w:rPr>
          <w:sz w:val="1"/>
          <w:szCs w:val="1"/>
          <w:color w:val="auto"/>
        </w:rPr>
        <w:drawing>
          <wp:inline distT="0" distB="0" distL="0" distR="0">
            <wp:extent cx="66675" cy="3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>
        <w:r>
          <w:rPr>
            <w:rFonts w:ascii="Arial" w:cs="Arial" w:eastAsia="Arial" w:hAnsi="Arial"/>
            <w:sz w:val="12"/>
            <w:szCs w:val="12"/>
            <w:color w:val="2E3D50"/>
          </w:rPr>
          <w:t xml:space="preserve"> kgromero.com</w:t>
        </w:r>
      </w:hyperlink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196850</wp:posOffset>
            </wp:positionV>
            <wp:extent cx="67627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1667510</wp:posOffset>
            </wp:positionH>
            <wp:positionV relativeFrom="paragraph">
              <wp:posOffset>-78740</wp:posOffset>
            </wp:positionV>
            <wp:extent cx="66675" cy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8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SUMMARY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 w:right="4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Software Engineering Leader with 10 years as a full-stack developer and 7 years in management, living in the NYC Metro Area. Looking for the next opportunity to lead a development organization to success, maximize business value, and provide great user experiences.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71120</wp:posOffset>
            </wp:positionV>
            <wp:extent cx="676275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Director of Software Development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Raymour &amp; Flanigan</w:t>
      </w:r>
    </w:p>
    <w:p>
      <w:pPr>
        <w:spacing w:after="0" w:line="3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Largest Initiatives: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ERP Migration to NetSuite, WMS Migration to Korber, Omnichannel Sales Experience via E-Commerce Site, 3rd Party API Integrations (ChargeAfter, Bringg).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3 Managers (.NET Team, Oracle Team, Boomi Team), 4 Architects, 30 Developers (mix of internal and near/off shore resources).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.NET (C#, UWP, MVC API), SQL Server, Oracle DB, Azure, AWS, React, Git, PowerBI, Windows Server, Boomi, Snowflake.</w:t>
      </w:r>
    </w:p>
    <w:p>
      <w:pPr>
        <w:spacing w:after="0" w:line="5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Defined and executed organizational strategy, including transformational 5 year vision.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Negotiated, reviewed, and managed development partner (near-shore / on-shore) and vendor contracts / resources, which reduced contract costs by 40%.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Forecasted and controlled organizational budget and credit card, reducing costs by 25%.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Directly led change control and release management processes, leading to 50% decrease in production defect rate.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Aligned cross-functional teams within internal matrixed organization and operated as SME alongside architects (direct reports) to define and executive organizational architecture strategy.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Coordinated with infrastructure team to monitor and control cloud and on-premises costs.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Manager of Software Development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760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MEARS Group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October 2017 - March 2023, Jersey City, NJ (remote)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right="120" w:hanging="101"/>
        <w:spacing w:after="0" w:line="305" w:lineRule="auto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Mission-Critical Projects: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Mission Critical SOX-compliant internally developed Revenue/Time/Equipment Field Capture solution, used by over 700 field construction crews across the US. This solution sped up the closing process by 75%. Electron based Field Safety Capture application with online/offline capability that digitized all safety documentation field crews must capture.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4 Developers, 1 PM, 7 Offshore (100% remote team).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.NET (C#, MVC API), SQL Server, Sqlite3, Azure / Windows Server, JavaScript (Angular / React / Node / Electron), Git, PowerBI, PowerAutomate, Java (Spring Boot).</w:t>
      </w:r>
    </w:p>
    <w:p>
      <w:pPr>
        <w:spacing w:after="0" w:line="74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Reported directly to CIO and focused on digital transformation and continuous improvement, including participating in Six Sigma and Kaizen initiatives.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Traveled to U.S. locations to roll out applications and lead Change Management (25% travel).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Implemented and trained organization on DevOps/CICD, Agile Scrum, Kanban, GitFlow, and QA processes, which increased delivery speed by 50%.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Onboarded and coordinated offshore development partner based out of India.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Nominated to Innovator Group and Quanta Leadership Academy 2.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Team Lead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836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Worldwide Machinery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April 2016 - October 2017, Houston, TX</w:t>
      </w:r>
    </w:p>
    <w:p>
      <w:pPr>
        <w:spacing w:after="0" w:line="7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internal software development team and reported to co-owner of company.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right="340" w:hanging="101"/>
        <w:spacing w:after="0" w:line="301" w:lineRule="auto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using .NET, MS SQL, and React which delivered mission-critical asset management software (desktop, mobile, and web) that managed $300mil worth of heavy machinery assets.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Built mobile-first SPA to enable employees to utilize real-time telemetrics on machinery assets.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421" w:gutter="0" w:footer="0" w:header="0"/>
        </w:sectPr>
      </w:pPr>
    </w:p>
    <w:p>
      <w:pPr>
        <w:spacing w:after="0" w:line="17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Technical Lead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HP Inc.</w:t>
      </w:r>
    </w:p>
    <w:p>
      <w:pPr>
        <w:spacing w:after="0" w:line="4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Designated as technical lead over mission-critical third level support tool with 10k+ global users.</w:t>
      </w:r>
    </w:p>
    <w:p>
      <w:pPr>
        <w:spacing w:after="0" w:line="57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Full-stack development delivering 3-tier web applications using .NET, MS SQL, and JavaScript.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Gained exposure to big data (Hadoop / HP Vertica) and BI/analytics (PowerBI / Tableau).</w:t>
      </w:r>
    </w:p>
    <w:p>
      <w:pPr>
        <w:spacing w:after="0" w:line="57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logical split and cloning of system during HP’s split into HPE and HP Inc..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Promoted Once (Senior Developer → Technical Lead).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Developer</w:t>
      </w:r>
    </w:p>
    <w:p>
      <w:pPr>
        <w:spacing w:after="0" w:line="5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X-Fab Texas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br w:type="column"/>
      </w:r>
    </w:p>
    <w:p>
      <w:pPr>
        <w:spacing w:after="0" w:line="37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December 2011 - February 2016, Houston, TX</w:t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6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August 2007 - December 2011, Lubbock, TX</w:t>
      </w:r>
    </w:p>
    <w:p>
      <w:pPr>
        <w:spacing w:after="0" w:line="10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ectPr>
          <w:pgSz w:w="12240" w:h="15840" w:orient="portrait"/>
          <w:cols w:equalWidth="0" w:num="2">
            <w:col w:w="7301" w:space="720"/>
            <w:col w:w="2640"/>
          </w:cols>
          <w:pgMar w:left="779" w:top="754" w:right="800" w:bottom="421" w:gutter="0" w:footer="0" w:header="0"/>
          <w:type w:val="continuous"/>
        </w:sect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developer specializing in .NET, MS SQL, C++, and Perl development (Windows and Linux).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Built 3-tier web applications and hardware monitoring solutions and introduced Subversion source control to company.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Deployed distributed databases and web applications in the U.S., Germany, and Malaysia.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Development Intern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862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Texas Tech / X-Fab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May 2007 - July 2007, Lubbock, TX</w:t>
      </w:r>
    </w:p>
    <w:p>
      <w:pPr>
        <w:spacing w:after="0" w:line="7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internship with emphasis on C++ and .NET development.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Completed a statistical analysis application and a file format conversion program.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Successfully presented internship results to Texas Tech University internship board.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116205</wp:posOffset>
            </wp:positionV>
            <wp:extent cx="676275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Bachelor of Science in Computer Engineering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421" w:gutter="0" w:footer="0" w:header="0"/>
          <w:type w:val="continuous"/>
        </w:sectPr>
      </w:pP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Texas Tech University • Lubbock, TX • 2009</w:t>
      </w:r>
    </w:p>
    <w:p>
      <w:pPr>
        <w:spacing w:after="0" w:line="4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E3D50"/>
        </w:rPr>
        <w:t>• Covered Computer Science and Electrical Engineering Topics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130810</wp:posOffset>
            </wp:positionV>
            <wp:extent cx="676275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0661"/>
      </w:cols>
      <w:pgMar w:left="779" w:top="754" w:right="800" w:bottom="4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16" Type="http://schemas.openxmlformats.org/officeDocument/2006/relationships/hyperlink" Target="https://kgromero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2024-09-17T19:06:05Z</dcterms:created>
  <dcterms:modified xsi:type="dcterms:W3CDTF">2024-09-17T19:06:05Z</dcterms:modified>
</cp:coreProperties>
</file>