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74D"/>
          <w:sz w:val="36"/>
          <w:szCs w:val="36"/>
        </w:rPr>
        <w:t xml:space="preserve">CÉDULA DE EVALUACIÓN DE IDONEIDAD PARA EDIFICIOS DEPARTAMENTALES Y OFICINAS</w:t>
      </w:r>
    </w:p>
    <w:p>
      <w:pPr>
        <w:spacing w:after="150"/>
        <w:jc w:val="center"/>
      </w:pPr>
      <w:r>
        <w:rPr>
          <w:rFonts w:ascii="Arial" w:cs="Arial" w:eastAsia="Arial" w:hAnsi="Arial"/>
          <w:color w:val="01696F"/>
          <w:sz w:val="24"/>
          <w:szCs w:val="24"/>
        </w:rPr>
        <w:t xml:space="preserve">Auditoría técnica para piloto de separación en cinco fracciones (Verticales)</w:t>
      </w:r>
    </w:p>
    <w:p>
      <w:pPr>
        <w:spacing w:after="300"/>
        <w:jc w:val="center"/>
      </w:pPr>
      <w:r>
        <w:rPr>
          <w:rFonts w:ascii="Arial" w:cs="Arial" w:eastAsia="Arial" w:hAnsi="Arial"/>
          <w:color w:val="555555"/>
          <w:sz w:val="22"/>
          <w:szCs w:val="22"/>
        </w:rPr>
        <w:t xml:space="preserve">Escala 0 a 140 puntos</w:t>
      </w:r>
    </w:p>
    <w:p>
      <w:pPr>
        <w:spacing w:before="300"/>
      </w:pPr>
    </w:p>
    <w:p>
      <w:pPr>
        <w:spacing w:after="100"/>
        <w:jc w:val="center"/>
      </w:pPr>
      <w:r>
        <w:rPr>
          <w:rFonts w:ascii="Arial" w:cs="Arial" w:eastAsia="Arial" w:hAnsi="Arial"/>
          <w:b/>
          <w:bCs/>
          <w:sz w:val="24"/>
          <w:szCs w:val="24"/>
        </w:rPr>
        <w:t xml:space="preserve">Zona Metropolitana de San Luis Potosí</w:t>
      </w:r>
    </w:p>
    <w:p>
      <w:pPr>
        <w:jc w:val="center"/>
      </w:pPr>
      <w:r>
        <w:rPr>
          <w:rFonts w:ascii="Arial" w:cs="Arial" w:eastAsia="Arial" w:hAnsi="Arial"/>
          <w:color w:val="555555"/>
          <w:sz w:val="22"/>
          <w:szCs w:val="22"/>
        </w:rPr>
        <w:t xml:space="preserve">Marzo 2026</w:t>
      </w:r>
    </w:p>
    <w:p>
      <w:pPr>
        <w:spacing w:before="400" w:after="100"/>
        <w:jc w:val="center"/>
      </w:pPr>
      <w:r>
        <w:rPr>
          <w:rFonts w:ascii="Arial" w:cs="Arial" w:eastAsia="Arial" w:hAnsi="Arial"/>
          <w:i/>
          <w:iCs/>
          <w:color w:val="555555"/>
          <w:sz w:val="20"/>
          <w:szCs w:val="20"/>
        </w:rPr>
        <w:t xml:space="preserve">Instrumento de auditoría técnica anexo al CAPÍTULO SAN LUIS POTOSÍ – Separación obligatoria en cinco fracciones en vivienda y condominios de la Zona Metropolitana de San Luis Potosí.</w:t>
      </w:r>
    </w:p>
    <w:p>
      <w:pPr>
        <w:sectPr>
          <w:pgSz w:w="12240" w:h="15840" w:orient="portrait"/>
          <w:pgMar w:top="1417" w:right="1417" w:bottom="1417" w:left="1417" w:header="708" w:footer="708" w:gutter="0"/>
          <w:pgNumType/>
          <w:docGrid w:linePitch="360"/>
        </w:sectPr>
      </w:pPr>
    </w:p>
    <w:p>
      <w:pPr>
        <w:pStyle w:val="Heading1"/>
        <w:spacing w:after="150" w:before="300"/>
      </w:pPr>
      <w:r>
        <w:rPr>
          <w:rFonts w:ascii="Arial" w:cs="Arial" w:eastAsia="Arial" w:hAnsi="Arial"/>
          <w:b/>
          <w:bCs/>
          <w:color w:val="1B474D"/>
          <w:sz w:val="28"/>
          <w:szCs w:val="28"/>
        </w:rPr>
        <w:t xml:space="preserve">SECCIÓN A — Identificación del inmueble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800"/>
        <w:gridCol w:w="5606"/>
      </w:tblGrid>
      <w:tr>
        <w:tc>
          <w:tcPr>
            <w:tcW w:type="dxa" w:w="38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Campo</w:t>
            </w:r>
          </w:p>
        </w:tc>
        <w:tc>
          <w:tcPr>
            <w:tcW w:type="dxa" w:w="56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Dato</w:t>
            </w:r>
          </w:p>
        </w:tc>
      </w:tr>
      <w:tr>
        <w:tc>
          <w:tcPr>
            <w:tcW w:type="dxa" w:w="3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Nombre del edificio / inmueble</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Dirección completa</w:t>
            </w:r>
          </w:p>
        </w:tc>
        <w:tc>
          <w:tcPr>
            <w:tcW w:type="dxa" w:w="56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Uso principal</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Departamental / Oficinas / Mixto</w:t>
            </w:r>
          </w:p>
        </w:tc>
      </w:tr>
      <w:tr>
        <w:tc>
          <w:tcPr>
            <w:tcW w:type="dxa" w:w="3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Horario de operación</w:t>
            </w:r>
          </w:p>
        </w:tc>
        <w:tc>
          <w:tcPr>
            <w:tcW w:type="dxa" w:w="56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Número estimado de usuarios / inquilinos</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Niveles totales</w:t>
            </w:r>
          </w:p>
        </w:tc>
        <w:tc>
          <w:tcPr>
            <w:tcW w:type="dxa" w:w="56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Año de construcción</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Administrador responsable</w:t>
            </w:r>
          </w:p>
        </w:tc>
        <w:tc>
          <w:tcPr>
            <w:tcW w:type="dxa" w:w="56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Folio</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Fecha de evaluación</w:t>
            </w:r>
          </w:p>
        </w:tc>
        <w:tc>
          <w:tcPr>
            <w:tcW w:type="dxa" w:w="56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Evaluador responsable</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3800"/>
            <w:gridSpan w:val="1"/>
            <w:tcBorders>
              <w:top w:val="single" w:color="B0B0B0" w:sz="1"/>
              <w:left w:val="single" w:color="B0B0B0" w:sz="1"/>
              <w:bottom w:val="single" w:color="B0B0B0" w:sz="1"/>
              <w:right w:val="single" w:color="B0B0B0" w:sz="1"/>
            </w:tcBorders>
            <w:shd w:fill="E8F4F5" w:val="clear"/>
            <w:tcMar>
              <w:top w:type="dxa" w:w="50"/>
              <w:left w:type="dxa" w:w="80"/>
              <w:bottom w:type="dxa" w:w="50"/>
              <w:right w:type="dxa" w:w="80"/>
            </w:tcMar>
            <w:vAlign w:val="center"/>
          </w:tcPr>
          <w:p>
            <w:pPr>
              <w:spacing w:after="20" w:before="20"/>
              <w:jc w:val="left"/>
            </w:pPr>
            <w:r>
              <w:rPr>
                <w:rFonts w:ascii="Arial" w:cs="Arial" w:eastAsia="Arial" w:hAnsi="Arial"/>
                <w:b/>
                <w:bCs/>
                <w:sz w:val="20"/>
                <w:szCs w:val="20"/>
              </w:rPr>
              <w:t xml:space="preserve">Zona de prioridad municipal</w:t>
            </w:r>
          </w:p>
        </w:tc>
        <w:tc>
          <w:tcPr>
            <w:tcW w:type="dxa" w:w="56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Alta ☐ Media ☐ Baja</w:t>
            </w:r>
          </w:p>
        </w:tc>
      </w:tr>
    </w:tbl>
    <w:p>
      <w:r>
        <w:br w:type="page"/>
      </w:r>
    </w:p>
    <w:p>
      <w:pPr>
        <w:pStyle w:val="Heading1"/>
        <w:spacing w:after="150" w:before="300"/>
      </w:pPr>
      <w:r>
        <w:rPr>
          <w:rFonts w:ascii="Arial" w:cs="Arial" w:eastAsia="Arial" w:hAnsi="Arial"/>
          <w:b/>
          <w:bCs/>
          <w:color w:val="1B474D"/>
          <w:sz w:val="28"/>
          <w:szCs w:val="28"/>
        </w:rPr>
        <w:t xml:space="preserve">SECCIÓN B — Infraestructura de residuos (40 puntos)</w:t>
      </w:r>
    </w:p>
    <w:p>
      <w:pPr>
        <w:spacing w:after="60" w:before="60"/>
      </w:pPr>
      <w:r>
        <w:rPr>
          <w:rFonts w:ascii="Arial" w:cs="Arial" w:eastAsia="Arial" w:hAnsi="Arial"/>
          <w:sz w:val="20"/>
          <w:szCs w:val="20"/>
        </w:rPr>
        <w:t xml:space="preserve">Evalúa la infraestructura física del edificio para recibir, almacenar y separar residuos en cinco fracciones, considerando cuartos centrales, cuartos por nivel y sistemas de ductos.</w:t>
      </w:r>
    </w:p>
    <w:p>
      <w:pPr>
        <w:spacing w:before="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6"/>
        <w:gridCol w:w="1000"/>
        <w:gridCol w:w="1700"/>
      </w:tblGrid>
      <w:tr>
        <w:tc>
          <w:tcPr>
            <w:tcW w:type="dxa" w:w="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Código</w:t>
            </w:r>
          </w:p>
        </w:tc>
        <w:tc>
          <w:tcPr>
            <w:tcW w:type="dxa" w:w="22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Criterio</w:t>
            </w:r>
          </w:p>
        </w:tc>
        <w:tc>
          <w:tcPr>
            <w:tcW w:type="dxa" w:w="38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Niveles de puntuación</w:t>
            </w:r>
          </w:p>
        </w:tc>
        <w:tc>
          <w:tcPr>
            <w:tcW w:type="dxa" w:w="1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Máx.</w:t>
            </w:r>
          </w:p>
        </w:tc>
        <w:tc>
          <w:tcPr>
            <w:tcW w:type="dxa" w:w="1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Pts. asignados</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B.1</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Cuartos de basura centrales en planta baja</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No existe</w:t>
            </w:r>
          </w:p>
          <w:p>
            <w:pPr>
              <w:spacing w:after="15" w:before="15"/>
            </w:pPr>
            <w:r>
              <w:rPr>
                <w:rFonts w:ascii="Arial" w:cs="Arial" w:eastAsia="Arial" w:hAnsi="Arial"/>
                <w:sz w:val="18"/>
                <w:szCs w:val="18"/>
              </w:rPr>
              <w:t xml:space="preserve">5 pts = &lt;15 m²</w:t>
            </w:r>
          </w:p>
          <w:p>
            <w:pPr>
              <w:spacing w:after="15" w:before="15"/>
            </w:pPr>
            <w:r>
              <w:rPr>
                <w:rFonts w:ascii="Arial" w:cs="Arial" w:eastAsia="Arial" w:hAnsi="Arial"/>
                <w:sz w:val="18"/>
                <w:szCs w:val="18"/>
              </w:rPr>
              <w:t xml:space="preserve">10 pts = 15–25 m²</w:t>
            </w:r>
          </w:p>
          <w:p>
            <w:pPr>
              <w:spacing w:after="15" w:before="15"/>
            </w:pPr>
            <w:r>
              <w:rPr>
                <w:rFonts w:ascii="Arial" w:cs="Arial" w:eastAsia="Arial" w:hAnsi="Arial"/>
                <w:sz w:val="18"/>
                <w:szCs w:val="18"/>
              </w:rPr>
              <w:t xml:space="preserve">15 pts = ≥25 m² con ventilación y drenaje</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15</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B.2</w:t>
            </w:r>
          </w:p>
        </w:tc>
        <w:tc>
          <w:tcPr>
            <w:tcW w:type="dxa" w:w="22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Cuartos de servicio por nivel</w:t>
            </w:r>
          </w:p>
        </w:tc>
        <w:tc>
          <w:tcPr>
            <w:tcW w:type="dxa" w:w="3806"/>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No existen</w:t>
            </w:r>
          </w:p>
          <w:p>
            <w:pPr>
              <w:spacing w:after="15" w:before="15"/>
            </w:pPr>
            <w:r>
              <w:rPr>
                <w:rFonts w:ascii="Arial" w:cs="Arial" w:eastAsia="Arial" w:hAnsi="Arial"/>
                <w:sz w:val="18"/>
                <w:szCs w:val="18"/>
              </w:rPr>
              <w:t xml:space="preserve">5 pts = En &lt;50% de pisos</w:t>
            </w:r>
          </w:p>
          <w:p>
            <w:pPr>
              <w:spacing w:after="15" w:before="15"/>
            </w:pPr>
            <w:r>
              <w:rPr>
                <w:rFonts w:ascii="Arial" w:cs="Arial" w:eastAsia="Arial" w:hAnsi="Arial"/>
                <w:sz w:val="18"/>
                <w:szCs w:val="18"/>
              </w:rPr>
              <w:t xml:space="preserve">10 pts = En ≥70% de pisos (≥4 m² cada uno)</w:t>
            </w:r>
          </w:p>
        </w:tc>
        <w:tc>
          <w:tcPr>
            <w:tcW w:type="dxa" w:w="1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B.3</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Ductos/chutes existentes o factibilidad</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No existen ni es factible</w:t>
            </w:r>
          </w:p>
          <w:p>
            <w:pPr>
              <w:spacing w:after="15" w:before="15"/>
            </w:pPr>
            <w:r>
              <w:rPr>
                <w:rFonts w:ascii="Arial" w:cs="Arial" w:eastAsia="Arial" w:hAnsi="Arial"/>
                <w:sz w:val="18"/>
                <w:szCs w:val="18"/>
              </w:rPr>
              <w:t xml:space="preserve">5 pts = Factibilidad técnica con inversión moderada</w:t>
            </w:r>
          </w:p>
          <w:p>
            <w:pPr>
              <w:spacing w:after="15" w:before="15"/>
            </w:pPr>
            <w:r>
              <w:rPr>
                <w:rFonts w:ascii="Arial" w:cs="Arial" w:eastAsia="Arial" w:hAnsi="Arial"/>
                <w:sz w:val="18"/>
                <w:szCs w:val="18"/>
              </w:rPr>
              <w:t xml:space="preserve">10 pts = Ductos funcionales para ≥2 fracciones</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B.4</w:t>
            </w:r>
          </w:p>
        </w:tc>
        <w:tc>
          <w:tcPr>
            <w:tcW w:type="dxa" w:w="22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Capacidad de adaptación a cinco fracciones</w:t>
            </w:r>
          </w:p>
        </w:tc>
        <w:tc>
          <w:tcPr>
            <w:tcW w:type="dxa" w:w="3806"/>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Imposible sin obra mayor</w:t>
            </w:r>
          </w:p>
          <w:p>
            <w:pPr>
              <w:spacing w:after="15" w:before="15"/>
            </w:pPr>
            <w:r>
              <w:rPr>
                <w:rFonts w:ascii="Arial" w:cs="Arial" w:eastAsia="Arial" w:hAnsi="Arial"/>
                <w:sz w:val="18"/>
                <w:szCs w:val="18"/>
              </w:rPr>
              <w:t xml:space="preserve">2.5 pts = Adaptable con obras menores</w:t>
            </w:r>
          </w:p>
          <w:p>
            <w:pPr>
              <w:spacing w:after="15" w:before="15"/>
            </w:pPr>
            <w:r>
              <w:rPr>
                <w:rFonts w:ascii="Arial" w:cs="Arial" w:eastAsia="Arial" w:hAnsi="Arial"/>
                <w:sz w:val="18"/>
                <w:szCs w:val="18"/>
              </w:rPr>
              <w:t xml:space="preserve">5 pts = Compatible sin modificaciones</w:t>
            </w:r>
          </w:p>
        </w:tc>
        <w:tc>
          <w:tcPr>
            <w:tcW w:type="dxa" w:w="1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5</w:t>
            </w:r>
          </w:p>
        </w:tc>
        <w:tc>
          <w:tcPr>
            <w:tcW w:type="dxa" w:w="1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spacing w:after="60" w:before="120"/>
      </w:pPr>
      <w:r>
        <w:rPr>
          <w:rFonts w:ascii="Arial" w:cs="Arial" w:eastAsia="Arial" w:hAnsi="Arial"/>
          <w:b/>
          <w:bCs/>
          <w:sz w:val="20"/>
          <w:szCs w:val="20"/>
        </w:rPr>
        <w:t xml:space="preserve">Subtotal Sección B:  _______ / 40 puntos</w:t>
      </w:r>
    </w:p>
    <w:p>
      <w:r>
        <w:br w:type="page"/>
      </w:r>
    </w:p>
    <w:p>
      <w:pPr>
        <w:pStyle w:val="Heading1"/>
        <w:spacing w:after="150" w:before="300"/>
      </w:pPr>
      <w:r>
        <w:rPr>
          <w:rFonts w:ascii="Arial" w:cs="Arial" w:eastAsia="Arial" w:hAnsi="Arial"/>
          <w:b/>
          <w:bCs/>
          <w:color w:val="1B474D"/>
          <w:sz w:val="28"/>
          <w:szCs w:val="28"/>
        </w:rPr>
        <w:t xml:space="preserve">SECCIÓN C — Seguridad y rutas (35 puntos)</w:t>
      </w:r>
    </w:p>
    <w:p>
      <w:pPr>
        <w:spacing w:after="60" w:before="60"/>
      </w:pPr>
      <w:r>
        <w:rPr>
          <w:rFonts w:ascii="Arial" w:cs="Arial" w:eastAsia="Arial" w:hAnsi="Arial"/>
          <w:sz w:val="20"/>
          <w:szCs w:val="20"/>
        </w:rPr>
        <w:t xml:space="preserve">Verifica que las rutas de traslado de residuos no interfieran con evacuación ni representen riesgos operativos, y que el edificio cuente con capacidad de movimiento vertical adecuada.</w:t>
      </w:r>
    </w:p>
    <w:p>
      <w:pPr>
        <w:spacing w:before="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6"/>
        <w:gridCol w:w="1000"/>
        <w:gridCol w:w="1700"/>
      </w:tblGrid>
      <w:tr>
        <w:tc>
          <w:tcPr>
            <w:tcW w:type="dxa" w:w="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Código</w:t>
            </w:r>
          </w:p>
        </w:tc>
        <w:tc>
          <w:tcPr>
            <w:tcW w:type="dxa" w:w="22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Criterio</w:t>
            </w:r>
          </w:p>
        </w:tc>
        <w:tc>
          <w:tcPr>
            <w:tcW w:type="dxa" w:w="38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Niveles de puntuación</w:t>
            </w:r>
          </w:p>
        </w:tc>
        <w:tc>
          <w:tcPr>
            <w:tcW w:type="dxa" w:w="1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Máx.</w:t>
            </w:r>
          </w:p>
        </w:tc>
        <w:tc>
          <w:tcPr>
            <w:tcW w:type="dxa" w:w="1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Pts. asignados</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C.1</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Rutas de residuos vs rutas de evacuación</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Misma ruta sin alternativa (riesgo alto)</w:t>
            </w:r>
          </w:p>
          <w:p>
            <w:pPr>
              <w:spacing w:after="15" w:before="15"/>
            </w:pPr>
            <w:r>
              <w:rPr>
                <w:rFonts w:ascii="Arial" w:cs="Arial" w:eastAsia="Arial" w:hAnsi="Arial"/>
                <w:sz w:val="18"/>
                <w:szCs w:val="18"/>
              </w:rPr>
              <w:t xml:space="preserve">5 pts = Parcialmente separadas</w:t>
            </w:r>
          </w:p>
          <w:p>
            <w:pPr>
              <w:spacing w:after="15" w:before="15"/>
            </w:pPr>
            <w:r>
              <w:rPr>
                <w:rFonts w:ascii="Arial" w:cs="Arial" w:eastAsia="Arial" w:hAnsi="Arial"/>
                <w:sz w:val="18"/>
                <w:szCs w:val="18"/>
              </w:rPr>
              <w:t xml:space="preserve">10 pts = Separadas con restricciones horarias</w:t>
            </w:r>
          </w:p>
          <w:p>
            <w:pPr>
              <w:spacing w:after="15" w:before="15"/>
            </w:pPr>
            <w:r>
              <w:rPr>
                <w:rFonts w:ascii="Arial" w:cs="Arial" w:eastAsia="Arial" w:hAnsi="Arial"/>
                <w:sz w:val="18"/>
                <w:szCs w:val="18"/>
              </w:rPr>
              <w:t xml:space="preserve">15 pts = Completamente independientes</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15</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C.2</w:t>
            </w:r>
          </w:p>
        </w:tc>
        <w:tc>
          <w:tcPr>
            <w:tcW w:type="dxa" w:w="22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Elevador de servicio / carga</w:t>
            </w:r>
          </w:p>
        </w:tc>
        <w:tc>
          <w:tcPr>
            <w:tcW w:type="dxa" w:w="3806"/>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No existe</w:t>
            </w:r>
          </w:p>
          <w:p>
            <w:pPr>
              <w:spacing w:after="15" w:before="15"/>
            </w:pPr>
            <w:r>
              <w:rPr>
                <w:rFonts w:ascii="Arial" w:cs="Arial" w:eastAsia="Arial" w:hAnsi="Arial"/>
                <w:sz w:val="18"/>
                <w:szCs w:val="18"/>
              </w:rPr>
              <w:t xml:space="preserve">5 pts = Elevador compartido con restricciones</w:t>
            </w:r>
          </w:p>
          <w:p>
            <w:pPr>
              <w:spacing w:after="15" w:before="15"/>
            </w:pPr>
            <w:r>
              <w:rPr>
                <w:rFonts w:ascii="Arial" w:cs="Arial" w:eastAsia="Arial" w:hAnsi="Arial"/>
                <w:sz w:val="18"/>
                <w:szCs w:val="18"/>
              </w:rPr>
              <w:t xml:space="preserve">10 pts = Elevador dedicado ≥1,000 kg</w:t>
            </w:r>
          </w:p>
        </w:tc>
        <w:tc>
          <w:tcPr>
            <w:tcW w:type="dxa" w:w="1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C.3</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Ergonomía del traslado vertical</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Distancias &gt;50 m o &gt;3 cambios de nivel sin elevador</w:t>
            </w:r>
          </w:p>
          <w:p>
            <w:pPr>
              <w:spacing w:after="15" w:before="15"/>
            </w:pPr>
            <w:r>
              <w:rPr>
                <w:rFonts w:ascii="Arial" w:cs="Arial" w:eastAsia="Arial" w:hAnsi="Arial"/>
                <w:sz w:val="18"/>
                <w:szCs w:val="18"/>
              </w:rPr>
              <w:t xml:space="preserve">5 pts = Distancias moderadas con elevador</w:t>
            </w:r>
          </w:p>
          <w:p>
            <w:pPr>
              <w:spacing w:after="15" w:before="15"/>
            </w:pPr>
            <w:r>
              <w:rPr>
                <w:rFonts w:ascii="Arial" w:cs="Arial" w:eastAsia="Arial" w:hAnsi="Arial"/>
                <w:sz w:val="18"/>
                <w:szCs w:val="18"/>
              </w:rPr>
              <w:t xml:space="preserve">10 pts = Recorrido &lt;30 m con elevador dedicado</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spacing w:after="60" w:before="120"/>
      </w:pPr>
      <w:r>
        <w:rPr>
          <w:rFonts w:ascii="Arial" w:cs="Arial" w:eastAsia="Arial" w:hAnsi="Arial"/>
          <w:b/>
          <w:bCs/>
          <w:sz w:val="20"/>
          <w:szCs w:val="20"/>
        </w:rPr>
        <w:t xml:space="preserve">Subtotal Sección C:  _______ / 35 puntos</w:t>
      </w:r>
    </w:p>
    <w:p>
      <w:r>
        <w:br w:type="page"/>
      </w:r>
    </w:p>
    <w:p>
      <w:pPr>
        <w:pStyle w:val="Heading1"/>
        <w:spacing w:after="150" w:before="300"/>
      </w:pPr>
      <w:r>
        <w:rPr>
          <w:rFonts w:ascii="Arial" w:cs="Arial" w:eastAsia="Arial" w:hAnsi="Arial"/>
          <w:b/>
          <w:bCs/>
          <w:color w:val="1B474D"/>
          <w:sz w:val="28"/>
          <w:szCs w:val="28"/>
        </w:rPr>
        <w:t xml:space="preserve">SECCIÓN D — Operación y mantenimiento actuales (30 puntos)</w:t>
      </w:r>
    </w:p>
    <w:p>
      <w:pPr>
        <w:spacing w:after="60" w:before="60"/>
      </w:pPr>
      <w:r>
        <w:rPr>
          <w:rFonts w:ascii="Arial" w:cs="Arial" w:eastAsia="Arial" w:hAnsi="Arial"/>
          <w:sz w:val="20"/>
          <w:szCs w:val="20"/>
        </w:rPr>
        <w:t xml:space="preserve">Mide la capacidad operativa del personal y los procesos de mantenimiento existentes como línea base para la implementación del piloto.</w:t>
      </w:r>
    </w:p>
    <w:p>
      <w:pPr>
        <w:spacing w:before="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6"/>
        <w:gridCol w:w="1000"/>
        <w:gridCol w:w="1700"/>
      </w:tblGrid>
      <w:tr>
        <w:tc>
          <w:tcPr>
            <w:tcW w:type="dxa" w:w="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Código</w:t>
            </w:r>
          </w:p>
        </w:tc>
        <w:tc>
          <w:tcPr>
            <w:tcW w:type="dxa" w:w="22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Criterio</w:t>
            </w:r>
          </w:p>
        </w:tc>
        <w:tc>
          <w:tcPr>
            <w:tcW w:type="dxa" w:w="38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Niveles de puntuación</w:t>
            </w:r>
          </w:p>
        </w:tc>
        <w:tc>
          <w:tcPr>
            <w:tcW w:type="dxa" w:w="1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Máx.</w:t>
            </w:r>
          </w:p>
        </w:tc>
        <w:tc>
          <w:tcPr>
            <w:tcW w:type="dxa" w:w="1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Pts. asignados</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D.1</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Personal de limpieza con supervisión</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personal</w:t>
            </w:r>
          </w:p>
          <w:p>
            <w:pPr>
              <w:spacing w:after="15" w:before="15"/>
            </w:pPr>
            <w:r>
              <w:rPr>
                <w:rFonts w:ascii="Arial" w:cs="Arial" w:eastAsia="Arial" w:hAnsi="Arial"/>
                <w:sz w:val="18"/>
                <w:szCs w:val="18"/>
              </w:rPr>
              <w:t xml:space="preserve">5 pts = Personal sin supervisión formal</w:t>
            </w:r>
          </w:p>
          <w:p>
            <w:pPr>
              <w:spacing w:after="15" w:before="15"/>
            </w:pPr>
            <w:r>
              <w:rPr>
                <w:rFonts w:ascii="Arial" w:cs="Arial" w:eastAsia="Arial" w:hAnsi="Arial"/>
                <w:sz w:val="18"/>
                <w:szCs w:val="18"/>
              </w:rPr>
              <w:t xml:space="preserve">10 pts = Personal con supervisor y horario documentado</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D.2</w:t>
            </w:r>
          </w:p>
        </w:tc>
        <w:tc>
          <w:tcPr>
            <w:tcW w:type="dxa" w:w="22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Frecuencia de retiro de residuos</w:t>
            </w:r>
          </w:p>
        </w:tc>
        <w:tc>
          <w:tcPr>
            <w:tcW w:type="dxa" w:w="3806"/>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Irregular</w:t>
            </w:r>
          </w:p>
          <w:p>
            <w:pPr>
              <w:spacing w:after="15" w:before="15"/>
            </w:pPr>
            <w:r>
              <w:rPr>
                <w:rFonts w:ascii="Arial" w:cs="Arial" w:eastAsia="Arial" w:hAnsi="Arial"/>
                <w:sz w:val="18"/>
                <w:szCs w:val="18"/>
              </w:rPr>
              <w:t xml:space="preserve">5 pts = Diaria sin diferenciación</w:t>
            </w:r>
          </w:p>
          <w:p>
            <w:pPr>
              <w:spacing w:after="15" w:before="15"/>
            </w:pPr>
            <w:r>
              <w:rPr>
                <w:rFonts w:ascii="Arial" w:cs="Arial" w:eastAsia="Arial" w:hAnsi="Arial"/>
                <w:sz w:val="18"/>
                <w:szCs w:val="18"/>
              </w:rPr>
              <w:t xml:space="preserve">10 pts = Diaria con diferenciación básica</w:t>
            </w:r>
          </w:p>
        </w:tc>
        <w:tc>
          <w:tcPr>
            <w:tcW w:type="dxa" w:w="1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D.3</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Mantenimiento de áreas de residuos</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programa</w:t>
            </w:r>
          </w:p>
          <w:p>
            <w:pPr>
              <w:spacing w:after="15" w:before="15"/>
            </w:pPr>
            <w:r>
              <w:rPr>
                <w:rFonts w:ascii="Arial" w:cs="Arial" w:eastAsia="Arial" w:hAnsi="Arial"/>
                <w:sz w:val="18"/>
                <w:szCs w:val="18"/>
              </w:rPr>
              <w:t xml:space="preserve">5 pts = Limpieza reactiva</w:t>
            </w:r>
          </w:p>
          <w:p>
            <w:pPr>
              <w:spacing w:after="15" w:before="15"/>
            </w:pPr>
            <w:r>
              <w:rPr>
                <w:rFonts w:ascii="Arial" w:cs="Arial" w:eastAsia="Arial" w:hAnsi="Arial"/>
                <w:sz w:val="18"/>
                <w:szCs w:val="18"/>
              </w:rPr>
              <w:t xml:space="preserve">10 pts = Programa preventivo documentado</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spacing w:after="60" w:before="120"/>
      </w:pPr>
      <w:r>
        <w:rPr>
          <w:rFonts w:ascii="Arial" w:cs="Arial" w:eastAsia="Arial" w:hAnsi="Arial"/>
          <w:b/>
          <w:bCs/>
          <w:sz w:val="20"/>
          <w:szCs w:val="20"/>
        </w:rPr>
        <w:t xml:space="preserve">Subtotal Sección D:  _______ / 30 puntos</w:t>
      </w:r>
    </w:p>
    <w:p>
      <w:r>
        <w:br w:type="page"/>
      </w:r>
    </w:p>
    <w:p>
      <w:pPr>
        <w:pStyle w:val="Heading1"/>
        <w:spacing w:after="150" w:before="300"/>
      </w:pPr>
      <w:r>
        <w:rPr>
          <w:rFonts w:ascii="Arial" w:cs="Arial" w:eastAsia="Arial" w:hAnsi="Arial"/>
          <w:b/>
          <w:bCs/>
          <w:color w:val="1B474D"/>
          <w:sz w:val="28"/>
          <w:szCs w:val="28"/>
        </w:rPr>
        <w:t xml:space="preserve">SECCIÓN E — Potencial de adaptación a cinco fracciones (25 puntos)</w:t>
      </w:r>
    </w:p>
    <w:p>
      <w:pPr>
        <w:spacing w:after="60" w:before="60"/>
      </w:pPr>
      <w:r>
        <w:rPr>
          <w:rFonts w:ascii="Arial" w:cs="Arial" w:eastAsia="Arial" w:hAnsi="Arial"/>
          <w:sz w:val="20"/>
          <w:szCs w:val="20"/>
        </w:rPr>
        <w:t xml:space="preserve">Evalúa la gobernanza interna del edificio: comunicación con inquilinos, marco normativo y solvencia financiera para sostener el piloto.</w:t>
      </w:r>
    </w:p>
    <w:p>
      <w:pPr>
        <w:spacing w:before="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6"/>
        <w:gridCol w:w="1000"/>
        <w:gridCol w:w="1700"/>
      </w:tblGrid>
      <w:tr>
        <w:tc>
          <w:tcPr>
            <w:tcW w:type="dxa" w:w="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Código</w:t>
            </w:r>
          </w:p>
        </w:tc>
        <w:tc>
          <w:tcPr>
            <w:tcW w:type="dxa" w:w="22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Criterio</w:t>
            </w:r>
          </w:p>
        </w:tc>
        <w:tc>
          <w:tcPr>
            <w:tcW w:type="dxa" w:w="38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Niveles de puntuación</w:t>
            </w:r>
          </w:p>
        </w:tc>
        <w:tc>
          <w:tcPr>
            <w:tcW w:type="dxa" w:w="1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Máx.</w:t>
            </w:r>
          </w:p>
        </w:tc>
        <w:tc>
          <w:tcPr>
            <w:tcW w:type="dxa" w:w="1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Pts. asignados</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E.1</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Canal de comunicación multi-inquilino</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canal</w:t>
            </w:r>
          </w:p>
          <w:p>
            <w:pPr>
              <w:spacing w:after="15" w:before="15"/>
            </w:pPr>
            <w:r>
              <w:rPr>
                <w:rFonts w:ascii="Arial" w:cs="Arial" w:eastAsia="Arial" w:hAnsi="Arial"/>
                <w:sz w:val="18"/>
                <w:szCs w:val="18"/>
              </w:rPr>
              <w:t xml:space="preserve">5 pts = Canal parcial (&lt;50%)</w:t>
            </w:r>
          </w:p>
          <w:p>
            <w:pPr>
              <w:spacing w:after="15" w:before="15"/>
            </w:pPr>
            <w:r>
              <w:rPr>
                <w:rFonts w:ascii="Arial" w:cs="Arial" w:eastAsia="Arial" w:hAnsi="Arial"/>
                <w:sz w:val="18"/>
                <w:szCs w:val="18"/>
              </w:rPr>
              <w:t xml:space="preserve">10 pts = Canal digital ≥85% cobertura</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E.2</w:t>
            </w:r>
          </w:p>
        </w:tc>
        <w:tc>
          <w:tcPr>
            <w:tcW w:type="dxa" w:w="22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Reglamento con sanciones ambientales</w:t>
            </w:r>
          </w:p>
        </w:tc>
        <w:tc>
          <w:tcPr>
            <w:tcW w:type="dxa" w:w="3806"/>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cláusulas</w:t>
            </w:r>
          </w:p>
          <w:p>
            <w:pPr>
              <w:spacing w:after="15" w:before="15"/>
            </w:pPr>
            <w:r>
              <w:rPr>
                <w:rFonts w:ascii="Arial" w:cs="Arial" w:eastAsia="Arial" w:hAnsi="Arial"/>
                <w:sz w:val="18"/>
                <w:szCs w:val="18"/>
              </w:rPr>
              <w:t xml:space="preserve">5 pts = Cláusulas genéricas</w:t>
            </w:r>
          </w:p>
          <w:p>
            <w:pPr>
              <w:spacing w:after="15" w:before="15"/>
            </w:pPr>
            <w:r>
              <w:rPr>
                <w:rFonts w:ascii="Arial" w:cs="Arial" w:eastAsia="Arial" w:hAnsi="Arial"/>
                <w:sz w:val="18"/>
                <w:szCs w:val="18"/>
              </w:rPr>
              <w:t xml:space="preserve">10 pts = Sanciones específicas por mala disposición</w:t>
            </w:r>
          </w:p>
        </w:tc>
        <w:tc>
          <w:tcPr>
            <w:tcW w:type="dxa" w:w="1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E.3</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Solvencia del edificio</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Morosidad &gt;30%</w:t>
            </w:r>
          </w:p>
          <w:p>
            <w:pPr>
              <w:spacing w:after="15" w:before="15"/>
            </w:pPr>
            <w:r>
              <w:rPr>
                <w:rFonts w:ascii="Arial" w:cs="Arial" w:eastAsia="Arial" w:hAnsi="Arial"/>
                <w:sz w:val="18"/>
                <w:szCs w:val="18"/>
              </w:rPr>
              <w:t xml:space="preserve">2.5 pts = Morosidad 15–30%</w:t>
            </w:r>
          </w:p>
          <w:p>
            <w:pPr>
              <w:spacing w:after="15" w:before="15"/>
            </w:pPr>
            <w:r>
              <w:rPr>
                <w:rFonts w:ascii="Arial" w:cs="Arial" w:eastAsia="Arial" w:hAnsi="Arial"/>
                <w:sz w:val="18"/>
                <w:szCs w:val="18"/>
              </w:rPr>
              <w:t xml:space="preserve">5 pts = Morosidad &lt;15%</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5</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spacing w:after="60" w:before="120"/>
      </w:pPr>
      <w:r>
        <w:rPr>
          <w:rFonts w:ascii="Arial" w:cs="Arial" w:eastAsia="Arial" w:hAnsi="Arial"/>
          <w:b/>
          <w:bCs/>
          <w:sz w:val="20"/>
          <w:szCs w:val="20"/>
        </w:rPr>
        <w:t xml:space="preserve">Subtotal Sección E:  _______ / 25 puntos</w:t>
      </w:r>
    </w:p>
    <w:p>
      <w:r>
        <w:br w:type="page"/>
      </w:r>
    </w:p>
    <w:p>
      <w:pPr>
        <w:pStyle w:val="Heading1"/>
        <w:spacing w:after="150" w:before="300"/>
      </w:pPr>
      <w:r>
        <w:rPr>
          <w:rFonts w:ascii="Arial" w:cs="Arial" w:eastAsia="Arial" w:hAnsi="Arial"/>
          <w:b/>
          <w:bCs/>
          <w:color w:val="1B474D"/>
          <w:sz w:val="28"/>
          <w:szCs w:val="28"/>
        </w:rPr>
        <w:t xml:space="preserve">SECCIÓN F — Riesgos críticos (10 puntos, pueden restar)</w:t>
      </w:r>
    </w:p>
    <w:p>
      <w:pPr>
        <w:spacing w:after="60" w:before="60"/>
      </w:pPr>
      <w:r>
        <w:rPr>
          <w:rFonts w:ascii="Arial" w:cs="Arial" w:eastAsia="Arial" w:hAnsi="Arial"/>
          <w:sz w:val="20"/>
          <w:szCs w:val="20"/>
        </w:rPr>
        <w:t xml:space="preserve">Identifica factores de riesgo que comprometen la viabilidad del piloto y reconoce compromisos formales de la administración.</w:t>
      </w:r>
    </w:p>
    <w:p>
      <w:pPr>
        <w:spacing w:before="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6"/>
        <w:gridCol w:w="1000"/>
        <w:gridCol w:w="1700"/>
      </w:tblGrid>
      <w:tr>
        <w:tc>
          <w:tcPr>
            <w:tcW w:type="dxa" w:w="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Código</w:t>
            </w:r>
          </w:p>
        </w:tc>
        <w:tc>
          <w:tcPr>
            <w:tcW w:type="dxa" w:w="22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Criterio</w:t>
            </w:r>
          </w:p>
        </w:tc>
        <w:tc>
          <w:tcPr>
            <w:tcW w:type="dxa" w:w="38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Niveles de puntuación</w:t>
            </w:r>
          </w:p>
        </w:tc>
        <w:tc>
          <w:tcPr>
            <w:tcW w:type="dxa" w:w="1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Máx.</w:t>
            </w:r>
          </w:p>
        </w:tc>
        <w:tc>
          <w:tcPr>
            <w:tcW w:type="dxa" w:w="1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Pts. asignados</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F.1</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Historial de incidentes con residuos</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incidentes</w:t>
            </w:r>
          </w:p>
          <w:p>
            <w:pPr>
              <w:spacing w:after="15" w:before="15"/>
            </w:pPr>
            <w:r>
              <w:rPr>
                <w:rFonts w:ascii="Arial" w:cs="Arial" w:eastAsia="Arial" w:hAnsi="Arial"/>
                <w:sz w:val="18"/>
                <w:szCs w:val="18"/>
              </w:rPr>
              <w:t xml:space="preserve">–5 pts = Incendios, derrames o plagas documentados</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0 / –5</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F.2</w:t>
            </w:r>
          </w:p>
        </w:tc>
        <w:tc>
          <w:tcPr>
            <w:tcW w:type="dxa" w:w="22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Conflictos entre administración e inquilinos</w:t>
            </w:r>
          </w:p>
        </w:tc>
        <w:tc>
          <w:tcPr>
            <w:tcW w:type="dxa" w:w="3806"/>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conflictos</w:t>
            </w:r>
          </w:p>
          <w:p>
            <w:pPr>
              <w:spacing w:after="15" w:before="15"/>
            </w:pPr>
            <w:r>
              <w:rPr>
                <w:rFonts w:ascii="Arial" w:cs="Arial" w:eastAsia="Arial" w:hAnsi="Arial"/>
                <w:sz w:val="18"/>
                <w:szCs w:val="18"/>
              </w:rPr>
              <w:t xml:space="preserve">–5 pts = Conflictos activos</w:t>
            </w:r>
          </w:p>
        </w:tc>
        <w:tc>
          <w:tcPr>
            <w:tcW w:type="dxa" w:w="1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0 / –5</w:t>
            </w:r>
          </w:p>
        </w:tc>
        <w:tc>
          <w:tcPr>
            <w:tcW w:type="dxa" w:w="1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F.3</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Bonus: Compromiso formal de la administración</w:t>
            </w:r>
          </w:p>
        </w:tc>
        <w:tc>
          <w:tcPr>
            <w:tcW w:type="dxa" w:w="3806"/>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15" w:before="15"/>
            </w:pPr>
            <w:r>
              <w:rPr>
                <w:rFonts w:ascii="Arial" w:cs="Arial" w:eastAsia="Arial" w:hAnsi="Arial"/>
                <w:sz w:val="18"/>
                <w:szCs w:val="18"/>
              </w:rPr>
              <w:t xml:space="preserve">0 pts = Sin compromiso</w:t>
            </w:r>
          </w:p>
          <w:p>
            <w:pPr>
              <w:spacing w:after="15" w:before="15"/>
            </w:pPr>
            <w:r>
              <w:rPr>
                <w:rFonts w:ascii="Arial" w:cs="Arial" w:eastAsia="Arial" w:hAnsi="Arial"/>
                <w:sz w:val="18"/>
                <w:szCs w:val="18"/>
              </w:rPr>
              <w:t xml:space="preserve">+10 pts = Carta compromiso firmada</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+10</w:t>
            </w:r>
          </w:p>
        </w:tc>
        <w:tc>
          <w:tcPr>
            <w:tcW w:type="dxa" w:w="1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spacing w:after="60" w:before="120"/>
      </w:pPr>
      <w:r>
        <w:rPr>
          <w:rFonts w:ascii="Arial" w:cs="Arial" w:eastAsia="Arial" w:hAnsi="Arial"/>
          <w:b/>
          <w:bCs/>
          <w:sz w:val="20"/>
          <w:szCs w:val="20"/>
        </w:rPr>
        <w:t xml:space="preserve">Subtotal Sección F:  _______ (rango: –10 a +10 puntos)</w:t>
      </w:r>
    </w:p>
    <w:p>
      <w:pPr>
        <w:spacing w:after="100" w:before="250"/>
      </w:pPr>
      <w:r>
        <w:rPr>
          <w:rFonts w:ascii="Arial" w:cs="Arial" w:eastAsia="Arial" w:hAnsi="Arial"/>
          <w:b/>
          <w:bCs/>
          <w:color w:val="1B474D"/>
          <w:sz w:val="24"/>
          <w:szCs w:val="24"/>
        </w:rPr>
        <w:t xml:space="preserve">PUNTAJE TOTAL:  _______ / 140 puntos  (Secciones B + C + D + E + F)</w:t>
      </w:r>
    </w:p>
    <w:p>
      <w:r>
        <w:br w:type="page"/>
      </w:r>
    </w:p>
    <w:p>
      <w:pPr>
        <w:pStyle w:val="Heading1"/>
        <w:spacing w:after="150" w:before="300"/>
      </w:pPr>
      <w:r>
        <w:rPr>
          <w:rFonts w:ascii="Arial" w:cs="Arial" w:eastAsia="Arial" w:hAnsi="Arial"/>
          <w:b/>
          <w:bCs/>
          <w:color w:val="1B474D"/>
          <w:sz w:val="28"/>
          <w:szCs w:val="28"/>
        </w:rPr>
        <w:t xml:space="preserve">SECCIÓN G — Clasificación V1 / V2 / V3</w:t>
      </w:r>
    </w:p>
    <w:p>
      <w:pPr>
        <w:pStyle w:val="Heading2"/>
        <w:spacing w:after="100" w:before="200"/>
      </w:pPr>
      <w:r>
        <w:rPr>
          <w:rFonts w:ascii="Arial" w:cs="Arial" w:eastAsia="Arial" w:hAnsi="Arial"/>
          <w:b/>
          <w:bCs/>
          <w:color w:val="01696F"/>
          <w:sz w:val="24"/>
          <w:szCs w:val="24"/>
        </w:rPr>
        <w:t xml:space="preserve">Destino programático dentro del CAPÍTULO SAN LUIS POTOSÍ</w:t>
      </w:r>
    </w:p>
    <w:p>
      <w:pPr>
        <w:spacing w:after="60" w:before="60"/>
      </w:pPr>
      <w:r>
        <w:rPr>
          <w:rFonts w:ascii="Arial" w:cs="Arial" w:eastAsia="Arial" w:hAnsi="Arial"/>
          <w:sz w:val="20"/>
          <w:szCs w:val="20"/>
        </w:rPr>
        <w:t xml:space="preserve">Esta cédula se utiliza exclusivamente para la selección de inmuebles candidatos al piloto de separación en cinco fracciones correspondiente a la Fase 3 del CAPÍTULO SAN LUIS POTOSÍ. Las fases posteriores de expansión y escalamiento replicarán los estándares técnicos definidos a partir de los inmuebles seleccionados en este piloto.</w:t>
      </w:r>
    </w:p>
    <w:p>
      <w:pPr>
        <w:spacing w:after="60" w:before="60"/>
      </w:pPr>
      <w:r>
        <w:rPr>
          <w:rFonts w:ascii="Arial" w:cs="Arial" w:eastAsia="Arial" w:hAnsi="Arial"/>
          <w:sz w:val="20"/>
          <w:szCs w:val="20"/>
        </w:rPr>
        <w:t xml:space="preserve">Fase considerada: Fase 3 – Piloto único</w:t>
      </w:r>
    </w:p>
    <w:p>
      <w:pPr>
        <w:spacing w:after="60" w:before="60"/>
      </w:pPr>
      <w:r>
        <w:rPr>
          <w:rFonts w:ascii="Arial" w:cs="Arial" w:eastAsia="Arial" w:hAnsi="Arial"/>
          <w:sz w:val="20"/>
          <w:szCs w:val="20"/>
        </w:rPr>
        <w:t xml:space="preserve">Destino: ☐ Candidato a piloto Fase 3 / ☐ No candidato a piloto Fase 3</w:t>
      </w:r>
    </w:p>
    <w:p>
      <w:pPr>
        <w:spacing w:before="200"/>
      </w:pPr>
    </w:p>
    <w:p>
      <w:pPr>
        <w:pStyle w:val="Heading2"/>
        <w:spacing w:after="100" w:before="200"/>
      </w:pPr>
      <w:r>
        <w:rPr>
          <w:rFonts w:ascii="Arial" w:cs="Arial" w:eastAsia="Arial" w:hAnsi="Arial"/>
          <w:b/>
          <w:bCs/>
          <w:color w:val="01696F"/>
          <w:sz w:val="24"/>
          <w:szCs w:val="24"/>
        </w:rPr>
        <w:t xml:space="preserve">G.1 Clasificación según puntaje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106"/>
      </w:tblGrid>
      <w:tr>
        <w:tc>
          <w:tcPr>
            <w:tcW w:type="dxa" w:w="2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Rango</w:t>
            </w:r>
          </w:p>
        </w:tc>
        <w:tc>
          <w:tcPr>
            <w:tcW w:type="dxa" w:w="23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Clasificación</w:t>
            </w:r>
          </w:p>
        </w:tc>
        <w:tc>
          <w:tcPr>
            <w:tcW w:type="dxa" w:w="51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Significado</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≥110 puntos</w:t>
            </w:r>
          </w:p>
        </w:tc>
        <w:tc>
          <w:tcPr>
            <w:tcW w:type="dxa" w:w="2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color w:val="437A22"/>
                <w:sz w:val="20"/>
                <w:szCs w:val="20"/>
              </w:rPr>
              <w:t xml:space="preserve">V1</w:t>
            </w:r>
          </w:p>
        </w:tc>
        <w:tc>
          <w:tcPr>
            <w:tcW w:type="dxa" w:w="51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Candidato prioritario — centro de acopio en planta baja</w:t>
            </w:r>
          </w:p>
        </w:tc>
      </w:tr>
      <w:tr>
        <w:tc>
          <w:tcPr>
            <w:tcW w:type="dxa" w:w="2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85–109 puntos</w:t>
            </w:r>
          </w:p>
        </w:tc>
        <w:tc>
          <w:tcPr>
            <w:tcW w:type="dxa" w:w="23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color w:val="964219"/>
                <w:sz w:val="20"/>
                <w:szCs w:val="20"/>
              </w:rPr>
              <w:t xml:space="preserve">V2</w:t>
            </w:r>
          </w:p>
        </w:tc>
        <w:tc>
          <w:tcPr>
            <w:tcW w:type="dxa" w:w="51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Apto con cuartos por piso y traslado controlado</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60–84 puntos</w:t>
            </w:r>
          </w:p>
        </w:tc>
        <w:tc>
          <w:tcPr>
            <w:tcW w:type="dxa" w:w="2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color w:val="A84B2F"/>
                <w:sz w:val="20"/>
                <w:szCs w:val="20"/>
              </w:rPr>
              <w:t xml:space="preserve">V3</w:t>
            </w:r>
          </w:p>
        </w:tc>
        <w:tc>
          <w:tcPr>
            <w:tcW w:type="dxa" w:w="51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Requiere sistema de ductos o adaptación significativa</w:t>
            </w:r>
          </w:p>
        </w:tc>
      </w:tr>
      <w:tr>
        <w:tc>
          <w:tcPr>
            <w:tcW w:type="dxa" w:w="2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&lt;60 puntos</w:t>
            </w:r>
          </w:p>
        </w:tc>
        <w:tc>
          <w:tcPr>
            <w:tcW w:type="dxa" w:w="23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color w:val="A12C7B"/>
                <w:sz w:val="20"/>
                <w:szCs w:val="20"/>
              </w:rPr>
              <w:t xml:space="preserve">NO APTO</w:t>
            </w:r>
          </w:p>
        </w:tc>
        <w:tc>
          <w:tcPr>
            <w:tcW w:type="dxa" w:w="51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Riesgo operativo vertical inaceptable</w:t>
            </w:r>
          </w:p>
        </w:tc>
      </w:tr>
    </w:tbl>
    <w:p>
      <w:pPr>
        <w:spacing w:after="60" w:before="100"/>
      </w:pPr>
      <w:r>
        <w:rPr>
          <w:rFonts w:ascii="Arial" w:cs="Arial" w:eastAsia="Arial" w:hAnsi="Arial"/>
          <w:i/>
          <w:iCs/>
          <w:color w:val="555555"/>
          <w:sz w:val="18"/>
          <w:szCs w:val="18"/>
        </w:rPr>
        <w:t xml:space="preserve">En la primera implementación del piloto (Fase 3), el Municipio podrá priorizar edificios clasificados como V1 y V2. Edificios V3 solo serán considerados una vez ejecutadas las adecuaciones estructurales clave identificadas en esta cédula.</w:t>
      </w:r>
    </w:p>
    <w:p>
      <w:pPr>
        <w:spacing w:before="250"/>
      </w:pPr>
    </w:p>
    <w:p>
      <w:pPr>
        <w:pStyle w:val="Heading2"/>
        <w:spacing w:after="100" w:before="200"/>
      </w:pPr>
      <w:r>
        <w:rPr>
          <w:rFonts w:ascii="Arial" w:cs="Arial" w:eastAsia="Arial" w:hAnsi="Arial"/>
          <w:b/>
          <w:bCs/>
          <w:color w:val="01696F"/>
          <w:sz w:val="24"/>
          <w:szCs w:val="24"/>
        </w:rPr>
        <w:t xml:space="preserve">G.2 Reglas de veto (impiden categoría superior aunque puntaje sea alto)</w:t>
      </w:r>
    </w:p>
    <w:p>
      <w:pPr>
        <w:pBdr>
          <w:top w:val="single" w:color="A12C7B" w:sz="12" w:space="4"/>
          <w:left w:val="single" w:color="A12C7B" w:sz="12" w:space="4"/>
          <w:bottom w:val="single" w:color="A12C7B" w:sz="12" w:space="4"/>
          <w:right w:val="single" w:color="A12C7B" w:sz="12" w:space="4"/>
        </w:pBdr>
        <w:shd w:fill="FDF2F8" w:val="clear"/>
        <w:spacing w:after="40" w:before="80"/>
      </w:pPr>
      <w:r>
        <w:rPr>
          <w:rFonts w:ascii="Arial" w:cs="Arial" w:eastAsia="Arial" w:hAnsi="Arial"/>
          <w:b/>
          <w:bCs/>
          <w:color w:val="A12C7B"/>
          <w:sz w:val="20"/>
          <w:szCs w:val="20"/>
        </w:rPr>
        <w:t xml:space="preserve">Reglas de veto – de aplicación obligatoria</w:t>
      </w:r>
    </w:p>
    <w:p>
      <w:pPr>
        <w:pBdr>
          <w:left w:val="single" w:color="A12C7B" w:sz="12" w:space="4"/>
          <w:right w:val="single" w:color="A12C7B" w:sz="12" w:space="4"/>
        </w:pBdr>
        <w:shd w:fill="FDF2F8" w:val="clear"/>
        <w:spacing w:after="40" w:before="40"/>
      </w:pPr>
      <w:r>
        <w:rPr>
          <w:rFonts w:ascii="Arial" w:cs="Arial" w:eastAsia="Arial" w:hAnsi="Arial"/>
          <w:sz w:val="18"/>
          <w:szCs w:val="18"/>
        </w:rPr>
        <w:t xml:space="preserve">Si se cumple al menos una regla de veto, el inmueble se clasifica automáticamente con la restricción indicada, independientemente del puntaje total obtenido.</w:t>
      </w:r>
    </w:p>
    <w:p>
      <w:pPr>
        <w:spacing w:after="40" w:before="40"/>
      </w:pPr>
      <w:r>
        <w:rPr>
          <w:rFonts w:ascii="Arial" w:cs="Arial" w:eastAsia="Arial" w:hAnsi="Arial"/>
          <w:i/>
          <w:iCs/>
          <w:color w:val="555555"/>
          <w:sz w:val="18"/>
          <w:szCs w:val="18"/>
        </w:rPr>
        <w:t xml:space="preserve">Si alguna regla de veto se activa, la categoría indicada queda bloqueada independientemente del puntaje obtenido.</w:t>
      </w:r>
    </w:p>
    <w:p>
      <w:pPr>
        <w:spacing w:before="60"/>
      </w:pPr>
    </w:p>
    <w:tbl>
      <w:tblPr>
        <w:tblW w:type="dxa" w:w="9406"/>
        <w:tblBorders>
          <w:top w:val="single" w:color="A12C7B" w:sz="8"/>
          <w:left w:val="single" w:color="A12C7B" w:sz="8"/>
          <w:bottom w:val="single" w:color="A12C7B" w:sz="8"/>
          <w:right w:val="single" w:color="A12C7B" w:sz="8"/>
          <w:insideH w:val="single" w:color="auto" w:sz="4"/>
          <w:insideV w:val="single" w:color="auto" w:sz="4"/>
        </w:tblBorders>
      </w:tblPr>
      <w:tblGrid>
        <w:gridCol w:w="700"/>
        <w:gridCol w:w="4706"/>
        <w:gridCol w:w="4000"/>
      </w:tblGrid>
      <w:tr>
        <w:tc>
          <w:tcPr>
            <w:tcW w:type="dxa" w:w="7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w:t>
            </w:r>
          </w:p>
        </w:tc>
        <w:tc>
          <w:tcPr>
            <w:tcW w:type="dxa" w:w="47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Regla de veto</w:t>
            </w:r>
          </w:p>
        </w:tc>
        <w:tc>
          <w:tcPr>
            <w:tcW w:type="dxa" w:w="4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Efecto</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1</w:t>
            </w:r>
          </w:p>
        </w:tc>
        <w:tc>
          <w:tcPr>
            <w:tcW w:type="dxa" w:w="47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Rutas de residuos cruzan obligadamente áreas de alto riesgo (evacuación, zona de cocinas industriales)</w:t>
            </w:r>
          </w:p>
        </w:tc>
        <w:tc>
          <w:tcPr>
            <w:tcW w:type="dxa" w:w="4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No puede ser V1</w:t>
            </w:r>
          </w:p>
        </w:tc>
      </w:tr>
      <w:tr>
        <w:tc>
          <w:tcPr>
            <w:tcW w:type="dxa" w:w="7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2</w:t>
            </w:r>
          </w:p>
        </w:tc>
        <w:tc>
          <w:tcPr>
            <w:tcW w:type="dxa" w:w="47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Cuartos de basura imposibles de adaptar a cinco fracciones (espacio &lt;10 m² sin posibilidad de ampliación)</w:t>
            </w:r>
          </w:p>
        </w:tc>
        <w:tc>
          <w:tcPr>
            <w:tcW w:type="dxa" w:w="4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No puede ser V1</w:t>
            </w:r>
          </w:p>
        </w:tc>
      </w:tr>
      <w:tr>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3</w:t>
            </w:r>
          </w:p>
        </w:tc>
        <w:tc>
          <w:tcPr>
            <w:tcW w:type="dxa" w:w="47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Sin elevador de servicio ni posibilidad de instalar</w:t>
            </w:r>
          </w:p>
        </w:tc>
        <w:tc>
          <w:tcPr>
            <w:tcW w:type="dxa" w:w="4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No puede ser V2</w:t>
            </w:r>
          </w:p>
        </w:tc>
      </w:tr>
    </w:tbl>
    <w:p>
      <w:pPr>
        <w:spacing w:before="250"/>
      </w:pPr>
    </w:p>
    <w:p>
      <w:pPr>
        <w:pStyle w:val="Heading2"/>
        <w:spacing w:after="100" w:before="200"/>
      </w:pPr>
      <w:r>
        <w:rPr>
          <w:rFonts w:ascii="Arial" w:cs="Arial" w:eastAsia="Arial" w:hAnsi="Arial"/>
          <w:b/>
          <w:bCs/>
          <w:color w:val="01696F"/>
          <w:sz w:val="24"/>
          <w:szCs w:val="24"/>
        </w:rPr>
        <w:t xml:space="preserve">G.3 Recomendaciones para mejora de categoría</w:t>
      </w:r>
    </w:p>
    <w:p>
      <w:pPr>
        <w:spacing w:after="40" w:before="40"/>
      </w:pPr>
      <w:r>
        <w:rPr>
          <w:rFonts w:ascii="Arial" w:cs="Arial" w:eastAsia="Arial" w:hAnsi="Arial"/>
          <w:i/>
          <w:iCs/>
          <w:color w:val="555555"/>
          <w:sz w:val="18"/>
          <w:szCs w:val="18"/>
        </w:rPr>
        <w:t xml:space="preserve">Complete esta tabla con las acciones específicas que el edificio tendría que ejecutar para ascender de categoría.</w:t>
      </w:r>
    </w:p>
    <w:p>
      <w:pPr>
        <w:spacing w:before="6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000"/>
        <w:gridCol w:w="3703"/>
        <w:gridCol w:w="3703"/>
      </w:tblGrid>
      <w:tr>
        <w:tc>
          <w:tcPr>
            <w:tcW w:type="dxa" w:w="20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Transición</w:t>
            </w:r>
          </w:p>
        </w:tc>
        <w:tc>
          <w:tcPr>
            <w:tcW w:type="dxa" w:w="3703"/>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Requisitos para mejora de categoría</w:t>
            </w:r>
          </w:p>
        </w:tc>
        <w:tc>
          <w:tcPr>
            <w:tcW w:type="dxa" w:w="3703"/>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Plazo / observaciones</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V3 → V2</w:t>
            </w:r>
          </w:p>
        </w:tc>
        <w:tc>
          <w:tcPr>
            <w:tcW w:type="dxa" w:w="3703"/>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3703"/>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20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bCs/>
                <w:sz w:val="20"/>
                <w:szCs w:val="20"/>
              </w:rPr>
              <w:t xml:space="preserve">V2 → V1</w:t>
            </w:r>
          </w:p>
        </w:tc>
        <w:tc>
          <w:tcPr>
            <w:tcW w:type="dxa" w:w="3703"/>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3703"/>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pStyle w:val="Heading2"/>
        <w:spacing w:after="100" w:before="200"/>
      </w:pPr>
      <w:r>
        <w:rPr>
          <w:rFonts w:ascii="Arial" w:cs="Arial" w:eastAsia="Arial" w:hAnsi="Arial"/>
          <w:b/>
          <w:bCs/>
          <w:color w:val="01696F"/>
          <w:sz w:val="24"/>
          <w:szCs w:val="24"/>
        </w:rPr>
        <w:t xml:space="preserve">Veredicto final de auditoría</w:t>
      </w:r>
    </w:p>
    <w:p>
      <w:pPr>
        <w:spacing w:after="60" w:before="60"/>
      </w:pPr>
      <w:r>
        <w:rPr>
          <w:rFonts w:ascii="Arial" w:cs="Arial" w:eastAsia="Arial" w:hAnsi="Arial"/>
          <w:sz w:val="20"/>
          <w:szCs w:val="20"/>
        </w:rPr>
        <w:t xml:space="preserve">El veredicto final integra el puntaje total, las reglas de veto y las adecuaciones mínimas requeridas para la operación del piloto.</w:t>
      </w:r>
    </w:p>
    <w:p>
      <w:pPr>
        <w:spacing w:after="60" w:before="60"/>
      </w:pPr>
      <w:r>
        <w:rPr>
          <w:rFonts w:ascii="Arial" w:cs="Arial" w:eastAsia="Arial" w:hAnsi="Arial"/>
          <w:sz w:val="20"/>
          <w:szCs w:val="20"/>
        </w:rPr>
        <w:t xml:space="preserve">☐ Apto para piloto inmediato</w:t>
      </w:r>
    </w:p>
    <w:p>
      <w:pPr>
        <w:spacing w:after="60" w:before="60"/>
      </w:pPr>
      <w:r>
        <w:rPr>
          <w:rFonts w:ascii="Arial" w:cs="Arial" w:eastAsia="Arial" w:hAnsi="Arial"/>
          <w:sz w:val="20"/>
          <w:szCs w:val="20"/>
        </w:rPr>
        <w:t xml:space="preserve">☐ Apto con condicionantes obligatorias</w:t>
      </w:r>
    </w:p>
    <w:p>
      <w:pPr>
        <w:spacing w:after="60" w:before="60"/>
      </w:pPr>
      <w:r>
        <w:rPr>
          <w:rFonts w:ascii="Arial" w:cs="Arial" w:eastAsia="Arial" w:hAnsi="Arial"/>
          <w:sz w:val="20"/>
          <w:szCs w:val="20"/>
        </w:rPr>
        <w:t xml:space="preserve">☐ No apto para piloto</w:t>
      </w:r>
    </w:p>
    <w:p>
      <w:pPr>
        <w:spacing w:before="250"/>
      </w:pPr>
    </w:p>
    <w:p>
      <w:pPr>
        <w:pStyle w:val="Heading2"/>
        <w:spacing w:after="100" w:before="200"/>
      </w:pPr>
      <w:r>
        <w:rPr>
          <w:rFonts w:ascii="Arial" w:cs="Arial" w:eastAsia="Arial" w:hAnsi="Arial"/>
          <w:b/>
          <w:bCs/>
          <w:color w:val="01696F"/>
          <w:sz w:val="24"/>
          <w:szCs w:val="24"/>
        </w:rPr>
        <w:t xml:space="preserve">G.4 Resultado final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50"/>
        <w:gridCol w:w="2352"/>
        <w:gridCol w:w="2352"/>
        <w:gridCol w:w="2352"/>
      </w:tblGrid>
      <w:tr>
        <w:tc>
          <w:tcPr>
            <w:tcW w:type="dxa" w:w="235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Modelo recomendado</w:t>
            </w:r>
          </w:p>
        </w:tc>
        <w:tc>
          <w:tcPr>
            <w:tcW w:type="dxa" w:w="2352"/>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Categoría final</w:t>
            </w:r>
          </w:p>
        </w:tc>
        <w:tc>
          <w:tcPr>
            <w:tcW w:type="dxa" w:w="2352"/>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Condicionantes</w:t>
            </w:r>
          </w:p>
        </w:tc>
        <w:tc>
          <w:tcPr>
            <w:tcW w:type="dxa" w:w="2352"/>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Firma del auditor</w:t>
            </w:r>
          </w:p>
        </w:tc>
      </w:tr>
      <w:tr>
        <w:tc>
          <w:tcPr>
            <w:tcW w:type="dxa" w:w="235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 V1    ☐ V2    ☐ V3</w:t>
            </w:r>
          </w:p>
        </w:tc>
        <w:tc>
          <w:tcPr>
            <w:tcW w:type="dxa" w:w="2352"/>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352"/>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352"/>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pStyle w:val="Heading2"/>
        <w:spacing w:after="100" w:before="200"/>
      </w:pPr>
      <w:r>
        <w:rPr>
          <w:rFonts w:ascii="Arial" w:cs="Arial" w:eastAsia="Arial" w:hAnsi="Arial"/>
          <w:b/>
          <w:bCs/>
          <w:color w:val="01696F"/>
          <w:sz w:val="24"/>
          <w:szCs w:val="24"/>
        </w:rPr>
        <w:t xml:space="preserve">G.5 Adecuaciones mínimas requeridas y perfil de inversión</w:t>
      </w:r>
    </w:p>
    <w:p>
      <w:pPr>
        <w:spacing w:before="6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200"/>
        <w:gridCol w:w="1802"/>
        <w:gridCol w:w="1802"/>
        <w:gridCol w:w="2602"/>
      </w:tblGrid>
      <w:tr>
        <w:tc>
          <w:tcPr>
            <w:tcW w:type="dxa" w:w="3200"/>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Concepto de adecuación</w:t>
            </w:r>
          </w:p>
        </w:tc>
        <w:tc>
          <w:tcPr>
            <w:tcW w:type="dxa" w:w="1802"/>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¿Requerido?</w:t>
            </w:r>
          </w:p>
        </w:tc>
        <w:tc>
          <w:tcPr>
            <w:tcW w:type="dxa" w:w="1802"/>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Prioridad</w:t>
            </w:r>
          </w:p>
        </w:tc>
        <w:tc>
          <w:tcPr>
            <w:tcW w:type="dxa" w:w="2602"/>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Observaciones</w:t>
            </w:r>
          </w:p>
        </w:tc>
      </w:tr>
      <w:tr>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Cuartos de basura centrales en planta baja</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 Sí / ☐ No</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Alta / Media / Baja</w:t>
            </w:r>
          </w:p>
        </w:tc>
        <w:tc>
          <w:tcPr>
            <w:tcW w:type="dxa" w:w="26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
            </w:r>
          </w:p>
        </w:tc>
      </w:tr>
      <w:tr>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Ductos o chutes para fracciones adicionales</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 Sí / ☐ No</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Alta / Media / Baja</w:t>
            </w:r>
          </w:p>
        </w:tc>
        <w:tc>
          <w:tcPr>
            <w:tcW w:type="dxa" w:w="26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
            </w:r>
          </w:p>
        </w:tc>
      </w:tr>
      <w:tr>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Elevador de servicio o carga</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 Sí / ☐ No</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Alta / Media / Baja</w:t>
            </w:r>
          </w:p>
        </w:tc>
        <w:tc>
          <w:tcPr>
            <w:tcW w:type="dxa" w:w="26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
            </w:r>
          </w:p>
        </w:tc>
      </w:tr>
      <w:tr>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Señalización diferenciada por nivel</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 Sí / ☐ No</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Alta / Media / Baja</w:t>
            </w:r>
          </w:p>
        </w:tc>
        <w:tc>
          <w:tcPr>
            <w:tcW w:type="dxa" w:w="26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
            </w:r>
          </w:p>
        </w:tc>
      </w:tr>
      <w:tr>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Capacitación de personal de limpieza</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 Sí / ☐ No</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Alta / Media / Baja</w:t>
            </w:r>
          </w:p>
        </w:tc>
        <w:tc>
          <w:tcPr>
            <w:tcW w:type="dxa" w:w="26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
            </w:r>
          </w:p>
        </w:tc>
      </w:tr>
      <w:tr>
        <w:tc>
          <w:tcPr>
            <w:tcW w:type="dxa" w:w="3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Contenedores diferenciados (cinco fracciones)</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 Sí / ☐ No</w:t>
            </w:r>
          </w:p>
        </w:tc>
        <w:tc>
          <w:tcPr>
            <w:tcW w:type="dxa" w:w="18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sz w:val="20"/>
                <w:szCs w:val="20"/>
              </w:rPr>
              <w:t xml:space="preserve">Alta / Media / Baja</w:t>
            </w:r>
          </w:p>
        </w:tc>
        <w:tc>
          <w:tcPr>
            <w:tcW w:type="dxa" w:w="2602"/>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pPr>
            <w:r>
              <w:rPr>
                <w:rFonts w:ascii="Arial" w:cs="Arial" w:eastAsia="Arial" w:hAnsi="Arial"/>
                <w:sz w:val="20"/>
                <w:szCs w:val="20"/>
              </w:rPr>
              <w:t xml:space="preserve"/>
            </w:r>
          </w:p>
        </w:tc>
      </w:tr>
    </w:tbl>
    <w:p>
      <w:pPr>
        <w:spacing w:after="100" w:before="100"/>
      </w:pPr>
      <w:r>
        <w:rPr>
          <w:rFonts w:ascii="Arial" w:cs="Arial" w:eastAsia="Arial" w:hAnsi="Arial"/>
          <w:sz w:val="20"/>
          <w:szCs w:val="20"/>
        </w:rPr>
        <w:t xml:space="preserve">Perfil CAPEX estimado: ☐ Bajo ☐ Medio ☐ Alto</w:t>
      </w:r>
    </w:p>
    <w:p>
      <w:pPr>
        <w:spacing w:before="100"/>
      </w:pPr>
    </w:p>
    <w:p>
      <w:r>
        <w:br w:type="page"/>
      </w:r>
    </w:p>
    <w:p>
      <w:pPr>
        <w:pStyle w:val="Heading1"/>
        <w:spacing w:after="150" w:before="300"/>
      </w:pPr>
      <w:r>
        <w:rPr>
          <w:rFonts w:ascii="Arial" w:cs="Arial" w:eastAsia="Arial" w:hAnsi="Arial"/>
          <w:b/>
          <w:bCs/>
          <w:color w:val="1B474D"/>
          <w:sz w:val="28"/>
          <w:szCs w:val="28"/>
        </w:rPr>
        <w:t xml:space="preserve">SECCIÓN H — Trazabilidad y evidencia</w:t>
      </w:r>
    </w:p>
    <w:p>
      <w:pPr>
        <w:pStyle w:val="Heading2"/>
        <w:spacing w:after="100" w:before="200"/>
      </w:pPr>
      <w:r>
        <w:rPr>
          <w:rFonts w:ascii="Arial" w:cs="Arial" w:eastAsia="Arial" w:hAnsi="Arial"/>
          <w:b/>
          <w:bCs/>
          <w:color w:val="01696F"/>
          <w:sz w:val="24"/>
          <w:szCs w:val="24"/>
        </w:rPr>
        <w:t xml:space="preserve">H.1 Evidencias revisadas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6"/>
        <w:gridCol w:w="1400"/>
        <w:gridCol w:w="2400"/>
      </w:tblGrid>
      <w:tr>
        <w:tc>
          <w:tcPr>
            <w:tcW w:type="dxa" w:w="6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w:t>
            </w:r>
          </w:p>
        </w:tc>
        <w:tc>
          <w:tcPr>
            <w:tcW w:type="dxa" w:w="18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Tipo de evidencia</w:t>
            </w:r>
          </w:p>
        </w:tc>
        <w:tc>
          <w:tcPr>
            <w:tcW w:type="dxa" w:w="3206"/>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Descripción</w:t>
            </w:r>
          </w:p>
        </w:tc>
        <w:tc>
          <w:tcPr>
            <w:tcW w:type="dxa" w:w="14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Fecha</w:t>
            </w:r>
          </w:p>
        </w:tc>
        <w:tc>
          <w:tcPr>
            <w:tcW w:type="dxa" w:w="2400"/>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Observación del auditor</w:t>
            </w:r>
          </w:p>
        </w:tc>
      </w:tr>
      <w:tr>
        <w:tc>
          <w:tcPr>
            <w:tcW w:type="dxa" w:w="6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1</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Planos / croquis</w:t>
            </w:r>
          </w:p>
        </w:tc>
        <w:tc>
          <w:tcPr>
            <w:tcW w:type="dxa" w:w="32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2</w:t>
            </w:r>
          </w:p>
        </w:tc>
        <w:tc>
          <w:tcPr>
            <w:tcW w:type="dxa" w:w="1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Fotografías</w:t>
            </w:r>
          </w:p>
        </w:tc>
        <w:tc>
          <w:tcPr>
            <w:tcW w:type="dxa" w:w="32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3</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Actas de asamblea</w:t>
            </w:r>
          </w:p>
        </w:tc>
        <w:tc>
          <w:tcPr>
            <w:tcW w:type="dxa" w:w="32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4</w:t>
            </w:r>
          </w:p>
        </w:tc>
        <w:tc>
          <w:tcPr>
            <w:tcW w:type="dxa" w:w="1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Estado financiero</w:t>
            </w:r>
          </w:p>
        </w:tc>
        <w:tc>
          <w:tcPr>
            <w:tcW w:type="dxa" w:w="32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5</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Reglamento interno</w:t>
            </w:r>
          </w:p>
        </w:tc>
        <w:tc>
          <w:tcPr>
            <w:tcW w:type="dxa" w:w="32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6</w:t>
            </w:r>
          </w:p>
        </w:tc>
        <w:tc>
          <w:tcPr>
            <w:tcW w:type="dxa" w:w="1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Ficha técnica de elevador</w:t>
            </w:r>
          </w:p>
        </w:tc>
        <w:tc>
          <w:tcPr>
            <w:tcW w:type="dxa" w:w="32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7</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Contrato de mantenimiento</w:t>
            </w:r>
          </w:p>
        </w:tc>
        <w:tc>
          <w:tcPr>
            <w:tcW w:type="dxa" w:w="3206"/>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r>
        <w:tc>
          <w:tcPr>
            <w:tcW w:type="dxa" w:w="6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center"/>
            </w:pPr>
            <w:r>
              <w:rPr>
                <w:rFonts w:ascii="Arial" w:cs="Arial" w:eastAsia="Arial" w:hAnsi="Arial"/>
                <w:b w:val="false"/>
                <w:bCs w:val="false"/>
                <w:sz w:val="20"/>
                <w:szCs w:val="20"/>
              </w:rPr>
              <w:t xml:space="preserve">8</w:t>
            </w:r>
          </w:p>
        </w:tc>
        <w:tc>
          <w:tcPr>
            <w:tcW w:type="dxa" w:w="18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Otro</w:t>
            </w:r>
          </w:p>
        </w:tc>
        <w:tc>
          <w:tcPr>
            <w:tcW w:type="dxa" w:w="3206"/>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1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c>
          <w:tcPr>
            <w:tcW w:type="dxa" w:w="2400"/>
            <w:gridSpan w:val="1"/>
            <w:tcBorders>
              <w:top w:val="single" w:color="B0B0B0" w:sz="1"/>
              <w:left w:val="single" w:color="B0B0B0" w:sz="1"/>
              <w:bottom w:val="single" w:color="B0B0B0" w:sz="1"/>
              <w:right w:val="single" w:color="B0B0B0" w:sz="1"/>
            </w:tcBorders>
            <w:shd w:fill="F2F2F2" w:val="clear"/>
            <w:tcMar>
              <w:top w:type="dxa" w:w="50"/>
              <w:left w:type="dxa" w:w="80"/>
              <w:bottom w:type="dxa" w:w="50"/>
              <w:right w:type="dxa" w:w="80"/>
            </w:tcMar>
            <w:vAlign w:val="center"/>
          </w:tcPr>
          <w:p>
            <w:pPr>
              <w:spacing w:after="20" w:before="20"/>
              <w:jc w:val="left"/>
            </w:pPr>
            <w:r>
              <w:rPr>
                <w:rFonts w:ascii="Arial" w:cs="Arial" w:eastAsia="Arial" w:hAnsi="Arial"/>
                <w:b w:val="false"/>
                <w:bCs w:val="false"/>
                <w:sz w:val="20"/>
                <w:szCs w:val="20"/>
              </w:rPr>
              <w:t xml:space="preserve"/>
            </w:r>
          </w:p>
        </w:tc>
      </w:tr>
    </w:tbl>
    <w:p>
      <w:pPr>
        <w:spacing w:before="250"/>
      </w:pPr>
    </w:p>
    <w:p>
      <w:pPr>
        <w:pStyle w:val="Heading2"/>
        <w:spacing w:after="100" w:before="200"/>
      </w:pPr>
      <w:r>
        <w:rPr>
          <w:rFonts w:ascii="Arial" w:cs="Arial" w:eastAsia="Arial" w:hAnsi="Arial"/>
          <w:b/>
          <w:bCs/>
          <w:color w:val="01696F"/>
          <w:sz w:val="24"/>
          <w:szCs w:val="24"/>
        </w:rPr>
        <w:t xml:space="preserve">H.2 Observaciones cualitativas del auditor</w:t>
      </w:r>
    </w:p>
    <w:p>
      <w:pPr>
        <w:spacing w:after="40" w:before="40"/>
      </w:pPr>
      <w:r>
        <w:rPr>
          <w:rFonts w:ascii="Arial" w:cs="Arial" w:eastAsia="Arial" w:hAnsi="Arial"/>
          <w:i/>
          <w:iCs/>
          <w:color w:val="555555"/>
          <w:sz w:val="18"/>
          <w:szCs w:val="18"/>
        </w:rPr>
        <w:t xml:space="preserve">Espacio para explicar decisiones atípicas, justificar calificaciones limítrofes o señalar hallazgos que no encajan en los reactivos cuantitativos.</w:t>
      </w:r>
    </w:p>
    <w:p>
      <w:pPr>
        <w:spacing w:after="60" w:before="60"/>
      </w:pPr>
      <w:r>
        <w:rPr>
          <w:rFonts w:ascii="Arial" w:cs="Arial" w:eastAsia="Arial" w:hAnsi="Arial"/>
          <w:sz w:val="20"/>
          <w:szCs w:val="20"/>
        </w:rPr>
        <w:t xml:space="preserve">_____________________________________________________________________________</w:t>
      </w:r>
    </w:p>
    <w:p>
      <w:pPr>
        <w:spacing w:after="60" w:before="60"/>
      </w:pPr>
      <w:r>
        <w:rPr>
          <w:rFonts w:ascii="Arial" w:cs="Arial" w:eastAsia="Arial" w:hAnsi="Arial"/>
          <w:sz w:val="20"/>
          <w:szCs w:val="20"/>
        </w:rPr>
        <w:t xml:space="preserve">_____________________________________________________________________________</w:t>
      </w:r>
    </w:p>
    <w:p>
      <w:pPr>
        <w:spacing w:after="60" w:before="60"/>
      </w:pPr>
      <w:r>
        <w:rPr>
          <w:rFonts w:ascii="Arial" w:cs="Arial" w:eastAsia="Arial" w:hAnsi="Arial"/>
          <w:sz w:val="20"/>
          <w:szCs w:val="20"/>
        </w:rPr>
        <w:t xml:space="preserve">_____________________________________________________________________________</w:t>
      </w:r>
    </w:p>
    <w:p>
      <w:pPr>
        <w:spacing w:after="60" w:before="60"/>
      </w:pPr>
      <w:r>
        <w:rPr>
          <w:rFonts w:ascii="Arial" w:cs="Arial" w:eastAsia="Arial" w:hAnsi="Arial"/>
          <w:sz w:val="20"/>
          <w:szCs w:val="20"/>
        </w:rPr>
        <w:t xml:space="preserve">_____________________________________________________________________________</w:t>
      </w:r>
    </w:p>
    <w:p>
      <w:pPr>
        <w:spacing w:after="60" w:before="60"/>
      </w:pPr>
      <w:r>
        <w:rPr>
          <w:rFonts w:ascii="Arial" w:cs="Arial" w:eastAsia="Arial" w:hAnsi="Arial"/>
          <w:sz w:val="20"/>
          <w:szCs w:val="20"/>
        </w:rPr>
        <w:t xml:space="preserve">_____________________________________________________________________________</w:t>
      </w:r>
    </w:p>
    <w:p>
      <w:pPr>
        <w:spacing w:before="250"/>
      </w:pPr>
    </w:p>
    <w:p>
      <w:pPr>
        <w:pStyle w:val="Heading2"/>
        <w:spacing w:after="100" w:before="200"/>
      </w:pPr>
      <w:r>
        <w:rPr>
          <w:rFonts w:ascii="Arial" w:cs="Arial" w:eastAsia="Arial" w:hAnsi="Arial"/>
          <w:b/>
          <w:bCs/>
          <w:color w:val="01696F"/>
          <w:sz w:val="24"/>
          <w:szCs w:val="24"/>
        </w:rPr>
        <w:t xml:space="preserve">H.3 Firmas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Auditor</w:t>
            </w:r>
          </w:p>
        </w:tc>
        <w:tc>
          <w:tcPr>
            <w:tcW w:type="dxa" w:w="4703"/>
            <w:gridSpan w:val="1"/>
            <w:tcBorders>
              <w:top w:val="single" w:color="B0B0B0" w:sz="1"/>
              <w:left w:val="single" w:color="B0B0B0" w:sz="1"/>
              <w:bottom w:val="single" w:color="B0B0B0" w:sz="1"/>
              <w:right w:val="single" w:color="B0B0B0" w:sz="1"/>
            </w:tcBorders>
            <w:shd w:fill="1B474D" w:val="clear"/>
            <w:tcMar>
              <w:top w:type="dxa" w:w="50"/>
              <w:left w:type="dxa" w:w="80"/>
              <w:bottom w:type="dxa" w:w="50"/>
              <w:right w:type="dxa" w:w="80"/>
            </w:tcMar>
            <w:vAlign w:val="center"/>
          </w:tcPr>
          <w:p>
            <w:pPr>
              <w:jc w:val="center"/>
            </w:pPr>
            <w:r>
              <w:rPr>
                <w:rFonts w:ascii="Arial" w:cs="Arial" w:eastAsia="Arial" w:hAnsi="Arial"/>
                <w:b/>
                <w:bCs/>
                <w:color w:val="FFFFFF"/>
                <w:sz w:val="20"/>
                <w:szCs w:val="20"/>
              </w:rPr>
              <w:t xml:space="preserve">Representante de la administración</w:t>
            </w:r>
          </w:p>
        </w:tc>
      </w:tr>
      <w:tr>
        <w:tc>
          <w:tcPr>
            <w:tcW w:type="dxa" w:w="4703"/>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vAlign w:val="top"/>
          </w:tcPr>
          <w:p>
            <w:pPr>
              <w:spacing w:after="200" w:before="60"/>
            </w:pPr>
            <w:r>
              <w:rPr>
                <w:rFonts w:ascii="Arial" w:cs="Arial" w:eastAsia="Arial" w:hAnsi="Arial"/>
                <w:sz w:val="20"/>
                <w:szCs w:val="20"/>
              </w:rPr>
              <w:t xml:space="preserve">Nombre: _______________________________</w:t>
            </w:r>
          </w:p>
          <w:p>
            <w:pPr>
              <w:spacing w:after="200" w:before="60"/>
            </w:pPr>
            <w:r>
              <w:rPr>
                <w:rFonts w:ascii="Arial" w:cs="Arial" w:eastAsia="Arial" w:hAnsi="Arial"/>
                <w:sz w:val="20"/>
                <w:szCs w:val="20"/>
              </w:rPr>
              <w:t xml:space="preserve">Firma: ________________________________</w:t>
            </w:r>
          </w:p>
          <w:p>
            <w:pPr>
              <w:spacing w:after="60" w:before="60"/>
            </w:pPr>
            <w:r>
              <w:rPr>
                <w:rFonts w:ascii="Arial" w:cs="Arial" w:eastAsia="Arial" w:hAnsi="Arial"/>
                <w:sz w:val="20"/>
                <w:szCs w:val="20"/>
              </w:rPr>
              <w:t xml:space="preserve">Fecha: ___/___/______</w:t>
            </w:r>
          </w:p>
        </w:tc>
        <w:tc>
          <w:tcPr>
            <w:tcW w:type="dxa" w:w="4703"/>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vAlign w:val="top"/>
          </w:tcPr>
          <w:p>
            <w:pPr>
              <w:spacing w:after="200" w:before="60"/>
            </w:pPr>
            <w:r>
              <w:rPr>
                <w:rFonts w:ascii="Arial" w:cs="Arial" w:eastAsia="Arial" w:hAnsi="Arial"/>
                <w:sz w:val="20"/>
                <w:szCs w:val="20"/>
              </w:rPr>
              <w:t xml:space="preserve">Nombre: _______________________________</w:t>
            </w:r>
          </w:p>
          <w:p>
            <w:pPr>
              <w:spacing w:after="200" w:before="60"/>
            </w:pPr>
            <w:r>
              <w:rPr>
                <w:rFonts w:ascii="Arial" w:cs="Arial" w:eastAsia="Arial" w:hAnsi="Arial"/>
                <w:sz w:val="20"/>
                <w:szCs w:val="20"/>
              </w:rPr>
              <w:t xml:space="preserve">Firma: ________________________________</w:t>
            </w:r>
          </w:p>
          <w:p>
            <w:pPr>
              <w:spacing w:after="60" w:before="60"/>
            </w:pPr>
            <w:r>
              <w:rPr>
                <w:rFonts w:ascii="Arial" w:cs="Arial" w:eastAsia="Arial" w:hAnsi="Arial"/>
                <w:sz w:val="20"/>
                <w:szCs w:val="20"/>
              </w:rPr>
              <w:t xml:space="preserve">Fecha: ___/___/______</w:t>
            </w:r>
          </w:p>
        </w:tc>
      </w:tr>
    </w:tbl>
    <w:p>
      <w:pPr>
        <w:spacing w:after="100" w:before="150"/>
      </w:pPr>
      <w:r>
        <w:rPr>
          <w:rFonts w:ascii="Arial" w:cs="Arial" w:eastAsia="Arial" w:hAnsi="Arial"/>
          <w:sz w:val="20"/>
          <w:szCs w:val="20"/>
        </w:rPr>
        <w:t xml:space="preserve">Toda evidencia deberá estar fechada, vinculada al folio de esta cédula y resguardada conforme al protocolo de cadena de custodia definido en el CAPÍTULO SAN LUIS POTOSÍ y en los lineamientos de auditoría.</w:t>
      </w:r>
    </w:p>
    <w:p>
      <w:r>
        <w:br w:type="page"/>
      </w:r>
    </w:p>
    <w:p>
      <w:pPr>
        <w:pStyle w:val="Heading2"/>
        <w:spacing w:after="100" w:before="200"/>
      </w:pPr>
      <w:r>
        <w:rPr>
          <w:rFonts w:ascii="Arial" w:cs="Arial" w:eastAsia="Arial" w:hAnsi="Arial"/>
          <w:b/>
          <w:bCs/>
          <w:color w:val="01696F"/>
          <w:sz w:val="24"/>
          <w:szCs w:val="24"/>
        </w:rPr>
        <w:t xml:space="preserve">Cambios realizados por IA (para revisión interna)</w:t>
      </w:r>
    </w:p>
    <w:p>
      <w:pPr>
        <w:spacing w:after="40" w:before="100"/>
      </w:pPr>
      <w:r>
        <w:rPr>
          <w:rFonts w:ascii="Arial" w:cs="Arial" w:eastAsia="Arial" w:hAnsi="Arial"/>
          <w:b/>
          <w:bCs/>
          <w:sz w:val="20"/>
          <w:szCs w:val="20"/>
        </w:rPr>
        <w:t xml:space="preserve">1. Confirmaciones técnicas</w:t>
      </w:r>
    </w:p>
    <w:p>
      <w:pPr>
        <w:spacing w:after="60" w:before="60"/>
      </w:pPr>
      <w:r>
        <w:rPr>
          <w:rFonts w:ascii="Arial" w:cs="Arial" w:eastAsia="Arial" w:hAnsi="Arial"/>
          <w:sz w:val="20"/>
          <w:szCs w:val="20"/>
        </w:rPr>
        <w:t xml:space="preserve">Todos los criterios de evaluación (secciones B, C, D, E y F) se preservaron sin modificación. La escala de puntaje se mantiene en 0–140 puntos. Los rangos de clasificación permanecen: ≥110 = V1, 85–109 = V2, 60–84 = V3, &lt;60 = NO APTO. Las 3 reglas de veto originales (rutas en áreas de alto riesgo → no V1; cuartos &lt;10 m² sin ampliación → no V1; sin elevador de servicio → no V2) se conservaron íntegras.</w:t>
      </w:r>
    </w:p>
    <w:p>
      <w:pPr>
        <w:spacing w:after="40" w:before="100"/>
      </w:pPr>
      <w:r>
        <w:rPr>
          <w:rFonts w:ascii="Arial" w:cs="Arial" w:eastAsia="Arial" w:hAnsi="Arial"/>
          <w:b/>
          <w:bCs/>
          <w:sz w:val="20"/>
          <w:szCs w:val="20"/>
        </w:rPr>
        <w:t xml:space="preserve">2. Secciones, recuadros y campos nuevos añadidos</w:t>
      </w:r>
    </w:p>
    <w:p>
      <w:pPr>
        <w:spacing w:after="60" w:before="60"/>
      </w:pPr>
      <w:r>
        <w:rPr>
          <w:rFonts w:ascii="Arial" w:cs="Arial" w:eastAsia="Arial" w:hAnsi="Arial"/>
          <w:sz w:val="20"/>
          <w:szCs w:val="20"/>
        </w:rPr>
        <w:t xml:space="preserve">A.1: Subtítulo de anclaje en portada y pie de página actualizado.</w:t>
      </w:r>
    </w:p>
    <w:p>
      <w:pPr>
        <w:spacing w:after="60" w:before="60"/>
      </w:pPr>
      <w:r>
        <w:rPr>
          <w:rFonts w:ascii="Arial" w:cs="Arial" w:eastAsia="Arial" w:hAnsi="Arial"/>
          <w:sz w:val="20"/>
          <w:szCs w:val="20"/>
        </w:rPr>
        <w:t xml:space="preserve">A.2: Campo “Zona de prioridad municipal” en Sección A.</w:t>
      </w:r>
    </w:p>
    <w:p>
      <w:pPr>
        <w:spacing w:after="60" w:before="60"/>
      </w:pPr>
      <w:r>
        <w:rPr>
          <w:rFonts w:ascii="Arial" w:cs="Arial" w:eastAsia="Arial" w:hAnsi="Arial"/>
          <w:sz w:val="20"/>
          <w:szCs w:val="20"/>
        </w:rPr>
        <w:t xml:space="preserve">A.3: Bloque “Destino programático dentro del CAPÍTULO SAN LUIS POTOSÍ” en Sección G.</w:t>
      </w:r>
    </w:p>
    <w:p>
      <w:pPr>
        <w:spacing w:after="60" w:before="60"/>
      </w:pPr>
      <w:r>
        <w:rPr>
          <w:rFonts w:ascii="Arial" w:cs="Arial" w:eastAsia="Arial" w:hAnsi="Arial"/>
          <w:sz w:val="20"/>
          <w:szCs w:val="20"/>
        </w:rPr>
        <w:t xml:space="preserve">A.4: Recuadro “Veredicto final de auditoría” en Sección G.</w:t>
      </w:r>
    </w:p>
    <w:p>
      <w:pPr>
        <w:spacing w:after="60" w:before="60"/>
      </w:pPr>
      <w:r>
        <w:rPr>
          <w:rFonts w:ascii="Arial" w:cs="Arial" w:eastAsia="Arial" w:hAnsi="Arial"/>
          <w:sz w:val="20"/>
          <w:szCs w:val="20"/>
        </w:rPr>
        <w:t xml:space="preserve">A.5: Recuadro reforzado de reglas de veto con borde visible y texto introductorio.</w:t>
      </w:r>
    </w:p>
    <w:p>
      <w:pPr>
        <w:spacing w:after="60" w:before="60"/>
      </w:pPr>
      <w:r>
        <w:rPr>
          <w:rFonts w:ascii="Arial" w:cs="Arial" w:eastAsia="Arial" w:hAnsi="Arial"/>
          <w:sz w:val="20"/>
          <w:szCs w:val="20"/>
        </w:rPr>
        <w:t xml:space="preserve">A.6: Sub-sección G.5 “Adecuaciones mínimas requeridas y perfil de inversión”.</w:t>
      </w:r>
    </w:p>
    <w:p>
      <w:pPr>
        <w:spacing w:after="60" w:before="60"/>
      </w:pPr>
      <w:r>
        <w:rPr>
          <w:rFonts w:ascii="Arial" w:cs="Arial" w:eastAsia="Arial" w:hAnsi="Arial"/>
          <w:sz w:val="20"/>
          <w:szCs w:val="20"/>
        </w:rPr>
        <w:t xml:space="preserve">A.7: Nota de categoría para Fase 3 bajo tabla de clasificación.</w:t>
      </w:r>
    </w:p>
    <w:p>
      <w:pPr>
        <w:spacing w:after="60" w:before="60"/>
      </w:pPr>
      <w:r>
        <w:rPr>
          <w:rFonts w:ascii="Arial" w:cs="Arial" w:eastAsia="Arial" w:hAnsi="Arial"/>
          <w:sz w:val="20"/>
          <w:szCs w:val="20"/>
        </w:rPr>
        <w:t xml:space="preserve">A.8: Párrafo de trazabilidad y cadena de custodia al final de Sección H.</w:t>
      </w:r>
    </w:p>
    <w:p>
      <w:pPr>
        <w:spacing w:after="40" w:before="100"/>
      </w:pPr>
      <w:r>
        <w:rPr>
          <w:rFonts w:ascii="Arial" w:cs="Arial" w:eastAsia="Arial" w:hAnsi="Arial"/>
          <w:b/>
          <w:bCs/>
          <w:sz w:val="20"/>
          <w:szCs w:val="20"/>
        </w:rPr>
        <w:t xml:space="preserve">3. Nota de intención</w:t>
      </w:r>
    </w:p>
    <w:p>
      <w:pPr>
        <w:spacing w:after="60" w:before="60"/>
      </w:pPr>
      <w:r>
        <w:rPr>
          <w:rFonts w:ascii="Arial" w:cs="Arial" w:eastAsia="Arial" w:hAnsi="Arial"/>
          <w:sz w:val="20"/>
          <w:szCs w:val="20"/>
        </w:rPr>
        <w:t xml:space="preserve">Los cambios anclan formalmente esta cédula al CAPÍTULO SAN LUIS POTOSÍ como instrumento de auditoría técnica para la Fase 3 del piloto de separación en cinco fracciones. Se refuerza la trazabilidad documental mediante el protocolo de cadena de custodia. El bloque de destino programático y el veredicto final facilitan la selección objetiva de inmuebles candidatos. La sección de adecuaciones mínimas permite cuantificar inversiones previas al arranque. El recuadro de veto reforzado reduce el riesgo de omisión de restricciones operativas.</w:t>
      </w:r>
    </w:p>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CAPÍTULO SAN LUIS POTOSÍ – Fase 3 (Piloto) – Cédula de idoneidad Vfinal.</w:t>
    </w:r>
  </w:p>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Cédula de Evaluación — Edificios Departamentales y Oficinas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8"/>
      <w:szCs w:val="28"/>
    </w:rPr>
  </w:style>
  <w:style w:type="paragraph" w:styleId="Heading2">
    <w:name w:val="Heading 2"/>
    <w:basedOn w:val="Normal"/>
    <w:next w:val="Normal"/>
    <w:qFormat/>
    <w:pPr>
      <w:spacing w:after="110" w:before="220"/>
      <w:outlineLvl w:val="1"/>
    </w:pPr>
    <w:rPr>
      <w:rFonts w:ascii="Arial" w:cs="Arial" w:eastAsia="Arial" w:hAnsi="Arial"/>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2026-03-19T17:46:15.132Z</dcterms:created>
  <dcterms:modified xsi:type="dcterms:W3CDTF">2026-03-19T17:46:15.133Z</dcterms:modified>
</cp:coreProperties>
</file>

<file path=docProps/custom.xml><?xml version="1.0" encoding="utf-8"?>
<Properties xmlns="http://schemas.openxmlformats.org/officeDocument/2006/custom-properties" xmlns:vt="http://schemas.openxmlformats.org/officeDocument/2006/docPropsVTypes"/>
</file>