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74d"/>
          <w:sz w:val="40"/>
          <w:szCs w:val="40"/>
          <w:rtl w:val="0"/>
        </w:rPr>
        <w:t xml:space="preserve">CÉDULA DE EVALUACIÓN DE IDONEIDAD RESIDENCIAL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1696f"/>
          <w:sz w:val="26"/>
          <w:szCs w:val="26"/>
          <w:rtl w:val="0"/>
        </w:rPr>
        <w:t xml:space="preserve">Auditoría técnica para selección de piloto de separación en cinco fracciones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Residenciales horizontales — Escala 0 a 100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Zona Metropolitana de San Luis Potosí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Marzo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300" w:lineRule="auto"/>
        <w:jc w:val="center"/>
        <w:rPr/>
        <w:sectPr>
          <w:pgSz w:h="12240" w:w="15840" w:orient="landscape"/>
          <w:pgMar w:bottom="1417" w:top="1417" w:left="1417" w:right="1417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Instrumento de auditoría técnica anexo al CAPÍTULO SAN LUIS POTOSÍ – Separación obligatoria en cinco fracciones en vivienda y condominios de la Zona Metropolitana de San Luis Potosí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74d"/>
          <w:sz w:val="28"/>
          <w:szCs w:val="28"/>
          <w:rtl w:val="0"/>
        </w:rPr>
        <w:t xml:space="preserve">SECCIÓN A — Identificación del residencial</w:t>
      </w:r>
      <w:r w:rsidDel="00000000" w:rsidR="00000000" w:rsidRPr="00000000">
        <w:rPr>
          <w:rtl w:val="0"/>
        </w:rPr>
      </w:r>
    </w:p>
    <w:tbl>
      <w:tblPr>
        <w:tblStyle w:val="Table1"/>
        <w:tblW w:w="13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9006"/>
        <w:tblGridChange w:id="0">
          <w:tblGrid>
            <w:gridCol w:w="4000"/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del residencial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Ubicación (colonia, municipio)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Número de viviendas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Profesional / Vecinal / Mixta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Régimen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Condominio / Fraccionamiento cerrado / Otro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Evaluador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Zona de prioridad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 Alta    ☐ Media    ☐ 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74d"/>
          <w:sz w:val="28"/>
          <w:szCs w:val="28"/>
          <w:rtl w:val="0"/>
        </w:rPr>
        <w:t xml:space="preserve">SECCIÓN B — Infraestructura física disponible para residuos (30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Evalúa la capacidad instalada y el espacio físico disponible para implementar un sistema de separación en cinco fracciones dentro del residencial.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5906"/>
        <w:gridCol w:w="1500"/>
        <w:gridCol w:w="1500"/>
        <w:tblGridChange w:id="0">
          <w:tblGrid>
            <w:gridCol w:w="900"/>
            <w:gridCol w:w="3200"/>
            <w:gridCol w:w="5906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Niveles de puntuación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Máx.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Espacio formalizable para centro de acopio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pts = No hay espacio disponible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pts = Espacio parcial (&lt;15 m²) adaptable con obras menores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5" w:before="15" w:lineRule="auto"/>
              <w:rPr/>
            </w:pPr>
            <w:sdt>
              <w:sdtPr>
                <w:id w:val="108052243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10 pts = Espacio ≥15 m² techado con piso firme y drenaje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Estado del área de residuos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pts = No existe área definida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pts = Área informal sin separación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pts = Área definida con al menos separación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Capacidad de instalación de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pts = Sin espacio ni voluntad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pts = Espacio limitado (2–3 contenedores)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pts = Espacio para 5+ contenedores diferenciados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Subtotal Sección B:  _______ / 30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74d"/>
          <w:sz w:val="28"/>
          <w:szCs w:val="28"/>
          <w:rtl w:val="0"/>
        </w:rPr>
        <w:t xml:space="preserve">SECCIÓN C — Accesibilidad y seguridad vial para camiones (25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Determina si las vialidades internas permiten la operación segura de vehículos recolectores, requisito indispensable para el Modelo B (puerta a puerta).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5906"/>
        <w:gridCol w:w="1500"/>
        <w:gridCol w:w="1500"/>
        <w:tblGridChange w:id="0">
          <w:tblGrid>
            <w:gridCol w:w="900"/>
            <w:gridCol w:w="3200"/>
            <w:gridCol w:w="5906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Niveles de puntuación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Máx.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Ancho de vialidades internas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pts = &lt;4.5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pts = 4.5–6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pts = &gt;6 m guarnición a guarnición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Radio de giro en puntos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pts = &lt;8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pts = 8–12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5" w:before="15" w:lineRule="auto"/>
              <w:rPr/>
            </w:pPr>
            <w:sdt>
              <w:sdtPr>
                <w:id w:val="-75782417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10 pts = ≥12 m para camión de 3.5 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Pendientes y condiciones de pavimento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pts = Pendientes &gt;10% o pavimento deteriorado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2.5 pts = Pendientes moderadas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pts = Terreno plano, pavimento en buen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Subtotal Sección C:  _______ / 25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74d"/>
          <w:sz w:val="28"/>
          <w:szCs w:val="28"/>
          <w:rtl w:val="0"/>
        </w:rPr>
        <w:t xml:space="preserve">SECCIÓN D — Gestión actual de residuos (20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Mide el estado operativo de la recolección y separación actual como línea base para el piloto.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5906"/>
        <w:gridCol w:w="1500"/>
        <w:gridCol w:w="1500"/>
        <w:tblGridChange w:id="0">
          <w:tblGrid>
            <w:gridCol w:w="900"/>
            <w:gridCol w:w="3200"/>
            <w:gridCol w:w="5906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Niveles de puntuación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Máx.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Frecuencia de recolección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pts = Irregular o &lt;2 veces/semana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pts = 2–3 veces/semana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pts = Diaria o según calendario establecido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Prácticas de separación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pts = Ninguna separación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pts = Separación informal parcial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pts = Separación organizada aunque incompleta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Subtotal Sección D:  _______ / 20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74d"/>
          <w:sz w:val="28"/>
          <w:szCs w:val="28"/>
          <w:rtl w:val="0"/>
        </w:rPr>
        <w:t xml:space="preserve">SECCIÓN E — Capacidad de administración / gobernanza interna (15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Evalúa si la administración del residencial tiene la estructura organizativa, comunicación y solvencia para sostener el piloto.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5906"/>
        <w:gridCol w:w="1500"/>
        <w:gridCol w:w="1500"/>
        <w:tblGridChange w:id="0">
          <w:tblGrid>
            <w:gridCol w:w="900"/>
            <w:gridCol w:w="3200"/>
            <w:gridCol w:w="5906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Niveles de puntuación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Máx.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Personal dedicado a áreas comunes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pts = Sin personal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5" w:before="15" w:lineRule="auto"/>
              <w:rPr/>
            </w:pPr>
            <w:sdt>
              <w:sdtPr>
                <w:id w:val="107921079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5 pts = ≥1 empleado supervisando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Canal de comunicación con residentes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pts = Sin canal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5" w:before="15" w:lineRule="auto"/>
              <w:rPr/>
            </w:pPr>
            <w:sdt>
              <w:sdtPr>
                <w:id w:val="179600043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5 pts = Canal digital con ≥80% cobertura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Solvencia financiera – morosidad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pts = Morosidad &gt;30%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pts = Morosidad &lt;15%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Subtotal Sección E:  _______ / 15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74d"/>
          <w:sz w:val="28"/>
          <w:szCs w:val="28"/>
          <w:rtl w:val="0"/>
        </w:rPr>
        <w:t xml:space="preserve">SECCIÓN F — Riesgos ambientales y sociales (10 puntos, pueden restar)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Identifica factores de riesgo que pueden comprometer la viabilidad del piloto, así como indicadores de voluntad comunitaria que la fortalecen.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5906"/>
        <w:gridCol w:w="1500"/>
        <w:gridCol w:w="1500"/>
        <w:tblGridChange w:id="0">
          <w:tblGrid>
            <w:gridCol w:w="900"/>
            <w:gridCol w:w="3200"/>
            <w:gridCol w:w="5906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Niveles de puntuación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Máx.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Conflictos vecinales documentados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pts = Sin conflictos graves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–5 pts = Conflictos activos que impiden gestión colectiva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 / 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Antecedentes de clausuras o sanciones ambientales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pts = Sin antecedentes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–5 pts = Clausuras o sanciones en últimos 24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 / 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Bonus: Voluntad expresa de la asamblea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pts = Sin pronunciamiento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5" w:before="15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+10 pts = Acta de asamblea aprobando participación en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Subtotal Sección F:  _______ (rango: –10 a +10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74d"/>
          <w:sz w:val="24"/>
          <w:szCs w:val="24"/>
          <w:rtl w:val="0"/>
        </w:rPr>
        <w:t xml:space="preserve">PUNTAJE TOTAL:  _______ / 100 puntos  (Secciones B + C + D + E + 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after="150" w:before="300" w:lineRule="auto"/>
        <w:rPr>
          <w:color w:val="1b47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150" w:before="300" w:lineRule="auto"/>
        <w:rPr>
          <w:color w:val="1b47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150" w:before="300" w:lineRule="auto"/>
        <w:rPr>
          <w:color w:val="1b47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150" w:before="300" w:lineRule="auto"/>
        <w:rPr>
          <w:color w:val="1b47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150" w:before="300" w:lineRule="auto"/>
        <w:rPr>
          <w:color w:val="1b47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150" w:before="300" w:lineRule="auto"/>
        <w:rPr>
          <w:color w:val="1b47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after="150" w:before="300" w:lineRule="auto"/>
        <w:rPr>
          <w:color w:val="1b47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150" w:before="300" w:lineRule="auto"/>
        <w:rPr>
          <w:color w:val="1b47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74d"/>
          <w:sz w:val="28"/>
          <w:szCs w:val="28"/>
          <w:rtl w:val="0"/>
        </w:rPr>
        <w:t xml:space="preserve">SECCIÓN G — Resultado y recomendación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1696f"/>
          <w:sz w:val="24"/>
          <w:szCs w:val="24"/>
          <w:rtl w:val="0"/>
        </w:rPr>
        <w:t xml:space="preserve">Destino programático dentro del CAPÍTULO SAN LUIS POTOSÍ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 cédula se utiliza exclusivamente para la selección de inmuebles candidatos al piloto de separación en cinco fracciones correspondiente a la Fase 3 del CAPÍTULO SAN LUIS POTOSÍ. Las fases posteriores de expansión y escalamiento replicarán los estándares técnicos definidos a partir de los inmuebles seleccionados en este piloto.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Fase considerada: Fase 3 – Piloto único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Destino: ☐ Candidato a piloto Fase 3  /  ☐ No candidato a piloto Fase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1696f"/>
          <w:sz w:val="24"/>
          <w:szCs w:val="24"/>
          <w:rtl w:val="0"/>
        </w:rPr>
        <w:t xml:space="preserve">G.1 Clasificación según puntaje</w:t>
      </w:r>
      <w:r w:rsidDel="00000000" w:rsidR="00000000" w:rsidRPr="00000000">
        <w:rPr>
          <w:rtl w:val="0"/>
        </w:rPr>
      </w:r>
    </w:p>
    <w:tbl>
      <w:tblPr>
        <w:tblStyle w:val="Table7"/>
        <w:tblW w:w="13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7006"/>
        <w:tblGridChange w:id="0">
          <w:tblGrid>
            <w:gridCol w:w="2500"/>
            <w:gridCol w:w="3500"/>
            <w:gridCol w:w="7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center"/>
              <w:rPr/>
            </w:pPr>
            <w:sdt>
              <w:sdtPr>
                <w:id w:val="126843300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≥80 puntos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37a22"/>
                <w:sz w:val="20"/>
                <w:szCs w:val="20"/>
                <w:rtl w:val="0"/>
              </w:rPr>
              <w:t xml:space="preserve">ALTA VIABILIDAD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Candidato prioritario para piloto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60–79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64219"/>
                <w:sz w:val="20"/>
                <w:szCs w:val="20"/>
                <w:rtl w:val="0"/>
              </w:rPr>
              <w:t xml:space="preserve">APTO CON CONDICIONANTE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Requiere plan de remediación en 14 días. Condicionantes típicos: adecuación de espacio, regularización de reglamento, mejora de comunicación, reducción de morosidad.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&lt;60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12c7b"/>
                <w:sz w:val="20"/>
                <w:szCs w:val="20"/>
                <w:rtl w:val="0"/>
              </w:rPr>
              <w:t xml:space="preserve">NO APTO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Alto riesgo de falla operativa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En la primera implementación del piloto (Fase 3), el Municipio podrá priorizar residenciales clasificados como ALTA VIABILIDAD y, en su caso, APTO CON CONDICIONANTE que se comprometan a ejecutar las adecuaciones obligatorias en el plazo establecido.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1696f"/>
          <w:sz w:val="24"/>
          <w:szCs w:val="24"/>
          <w:rtl w:val="0"/>
        </w:rPr>
        <w:t xml:space="preserve">G.2 Reglas de veto – de aplicación obligatoria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13544" w:space="4" w:sz="8" w:val="single"/>
          <w:left w:color="a13544" w:space="4" w:sz="8" w:val="single"/>
          <w:bottom w:color="a13544" w:space="4" w:sz="8" w:val="single"/>
          <w:right w:color="a13544" w:space="4" w:sz="8" w:val="single"/>
        </w:pBdr>
        <w:shd w:fill="fff5f5" w:val="clear"/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13544"/>
          <w:sz w:val="20"/>
          <w:szCs w:val="20"/>
          <w:rtl w:val="0"/>
        </w:rPr>
        <w:t xml:space="preserve">Si se cumple al menos una regla de veto, el inmueble se clasifica automáticamente como NO APTO para el piloto, independientemente del puntaje total obtenido.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Si alguna regla de veto se activa, la clasificación positiva queda anulada independientemente del puntaje obtenido.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006.0" w:type="dxa"/>
        <w:jc w:val="left"/>
        <w:tblBorders>
          <w:top w:color="a13544" w:space="0" w:sz="12" w:val="single"/>
          <w:left w:color="a13544" w:space="0" w:sz="12" w:val="single"/>
          <w:bottom w:color="a13544" w:space="0" w:sz="12" w:val="single"/>
          <w:right w:color="a13544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6000"/>
        <w:gridCol w:w="6006"/>
        <w:tblGridChange w:id="0">
          <w:tblGrid>
            <w:gridCol w:w="1000"/>
            <w:gridCol w:w="6000"/>
            <w:gridCol w:w="6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 de veto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 existe espacio formalizable para centro de acopio ni accesibilidad para Modelo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 apto — independientemente del puntaje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Accesibilidad vehicular crítica (ancho &lt;4.5 m Y radio &lt;8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 apto para Modelo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Morosidad &gt;50%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 apto — inviabilidad financiera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1696f"/>
          <w:sz w:val="24"/>
          <w:szCs w:val="24"/>
          <w:rtl w:val="0"/>
        </w:rPr>
        <w:t xml:space="preserve">Veredicto final de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veredicto final integra el puntaje total, las reglas de veto y las adecuaciones mínimas requeridas para la operación del piloto.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Apto para piloto inmediato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Apto con condicionantes obligatorias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No apto para piloto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1696f"/>
          <w:sz w:val="24"/>
          <w:szCs w:val="24"/>
          <w:rtl w:val="0"/>
        </w:rPr>
        <w:t xml:space="preserve">G.3 Resultado final</w:t>
      </w:r>
      <w:r w:rsidDel="00000000" w:rsidR="00000000" w:rsidRPr="00000000">
        <w:rPr>
          <w:rtl w:val="0"/>
        </w:rPr>
      </w:r>
    </w:p>
    <w:tbl>
      <w:tblPr>
        <w:tblStyle w:val="Table9"/>
        <w:tblW w:w="1300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0"/>
        <w:gridCol w:w="3252"/>
        <w:gridCol w:w="3252"/>
        <w:gridCol w:w="3252"/>
        <w:tblGridChange w:id="0">
          <w:tblGrid>
            <w:gridCol w:w="3250"/>
            <w:gridCol w:w="3252"/>
            <w:gridCol w:w="3252"/>
            <w:gridCol w:w="3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Condicionantes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 del auditor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 Modelo A    ☐ Modelo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1696f"/>
          <w:sz w:val="24"/>
          <w:szCs w:val="24"/>
          <w:rtl w:val="0"/>
        </w:rPr>
        <w:t xml:space="preserve">G.4 Adecuaciones mínimas requeridas y perfil de inversión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Registre las adecuaciones físicas y operativas necesarias para habilitar el residencial como sede del piloto.</w:t>
      </w:r>
      <w:r w:rsidDel="00000000" w:rsidR="00000000" w:rsidRPr="00000000">
        <w:rPr>
          <w:rtl w:val="0"/>
        </w:rPr>
      </w:r>
    </w:p>
    <w:tbl>
      <w:tblPr>
        <w:tblStyle w:val="Table10"/>
        <w:tblW w:w="13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2000"/>
        <w:gridCol w:w="2000"/>
        <w:gridCol w:w="4506"/>
        <w:tblGridChange w:id="0">
          <w:tblGrid>
            <w:gridCol w:w="4500"/>
            <w:gridCol w:w="2000"/>
            <w:gridCol w:w="2000"/>
            <w:gridCol w:w="4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Concepto de adecuación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¿Requerido?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Espacio de acopio (techado, piso firme, drenaje)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 Sí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 / Media /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Contenedores diferenciados (5 fracciones + rechazo)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 Sí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 / Media /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Señalización y rotulación de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 Sí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 / Media /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Capacitación a personal de limpieza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 Sí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 / Media /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Campaña de comunicación a residentes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 Sí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 / Media /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Adecuación de accesos vehiculares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 Sí 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 / Media /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Perfil CAPEX estimado: ☐ Bajo    ☐ Medio    ☐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74d"/>
          <w:sz w:val="28"/>
          <w:szCs w:val="28"/>
          <w:rtl w:val="0"/>
        </w:rPr>
        <w:t xml:space="preserve">SECCIÓN H — Trazabilidad y evidencia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1696f"/>
          <w:sz w:val="24"/>
          <w:szCs w:val="24"/>
          <w:rtl w:val="0"/>
        </w:rPr>
        <w:t xml:space="preserve">H.1 Evidencias revisadas</w:t>
      </w:r>
      <w:r w:rsidDel="00000000" w:rsidR="00000000" w:rsidRPr="00000000">
        <w:rPr>
          <w:rtl w:val="0"/>
        </w:rPr>
      </w:r>
    </w:p>
    <w:tbl>
      <w:tblPr>
        <w:tblStyle w:val="Table11"/>
        <w:tblW w:w="13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4006"/>
        <w:gridCol w:w="2000"/>
        <w:gridCol w:w="3800"/>
        <w:tblGridChange w:id="0">
          <w:tblGrid>
            <w:gridCol w:w="700"/>
            <w:gridCol w:w="2500"/>
            <w:gridCol w:w="4006"/>
            <w:gridCol w:w="20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Observación del auditor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Planos / croquis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Fotografías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Actas de asamblea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Estado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Reglamento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1696f"/>
          <w:sz w:val="24"/>
          <w:szCs w:val="24"/>
          <w:rtl w:val="0"/>
        </w:rPr>
        <w:t xml:space="preserve">H.2 Observaciones cualitativas del auditor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Espacio para explicar decisiones atípicas, justificar calificaciones limítrofes o señalar hallazgos que no encajan en los reactivos cuantitativos.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1696f"/>
          <w:sz w:val="24"/>
          <w:szCs w:val="24"/>
          <w:rtl w:val="0"/>
        </w:rPr>
        <w:t xml:space="preserve">H.3 Firmas</w:t>
      </w:r>
      <w:r w:rsidDel="00000000" w:rsidR="00000000" w:rsidRPr="00000000">
        <w:rPr>
          <w:rtl w:val="0"/>
        </w:rPr>
      </w:r>
    </w:p>
    <w:tbl>
      <w:tblPr>
        <w:tblStyle w:val="Table12"/>
        <w:tblW w:w="13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3"/>
        <w:gridCol w:w="6503"/>
        <w:tblGridChange w:id="0">
          <w:tblGrid>
            <w:gridCol w:w="6503"/>
            <w:gridCol w:w="65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1b474d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Representante de la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Nombre: 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20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Firma: 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Fecha: ___/___/______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Nombre: 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20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Firma: 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Fecha: ___/___/______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Toda evidencia deberá estar fechada, vinculada al folio de esta cédula y resguardada conforme al protocolo de cadena de custodia definido en el CAPÍTULO SAN LUIS POTOSÍ y en los lineamientos de auditoría.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74d"/>
          <w:sz w:val="28"/>
          <w:szCs w:val="28"/>
          <w:rtl w:val="0"/>
        </w:rPr>
        <w:t xml:space="preserve">Cambios realizados por IA (para revisión interna)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1696f"/>
          <w:sz w:val="24"/>
          <w:szCs w:val="24"/>
          <w:rtl w:val="0"/>
        </w:rPr>
        <w:t xml:space="preserve">1. Confirmaciones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Todos los criterios de evaluación (B.1–B.3, C.1–C.3, D.1–D.2, E.1–E.3, F.1–F.3) se preservaron sin modificación.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escala de puntaje 0–100 se mantiene intacta: Sección B (30 pts), Sección C (25 pts), Sección D (20 pts), Sección E (15 pts), Sección F (–10 a +10 pts).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0" w:before="40" w:lineRule="auto"/>
        <w:rPr/>
      </w:pPr>
      <w:sdt>
        <w:sdtPr>
          <w:id w:val="128642502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Rangos de clasificación preservados: ≥80 = ALTA VIABILIDAD, 60–79 = APTO CON CONDICIONANTE, &lt;60 = NO APTO.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Las 3 reglas de veto originales permanecen sin cambios: (1) sin espacio para acopio ni acceso Modelo B, (2) accesibilidad vehicular crítica, (3) morosidad &gt;50%.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1696f"/>
          <w:sz w:val="24"/>
          <w:szCs w:val="24"/>
          <w:rtl w:val="0"/>
        </w:rPr>
        <w:t xml:space="preserve">2. Secciones, recuadros y campos nuevos añadidos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A.1 – Subtítulo de anclaje al CAPÍTULO SAN LUIS POTOSÍ en portada; pie de página actualizado.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A.2 – Campo “Zona de prioridad municipal” (Alta / Media / Baja) en Sección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A.3 – Bloque “Destino programático dentro del CAPÍTULO SAN LUIS POTOSÍ” antes de G.1.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A.4 – Recuadro “Veredicto final de auditoría” después de G.2.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A.5 – Recuadro reforzado de reglas de veto con borde visible y advertencia explícita.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A.6 – Sub-sección G.4 “Adecuaciones mínimas requeridas y perfil de inversión” con tabla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A.7 – Nota de categoría para Fase 3 después de la tabla de clasificación.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A.8 – Párrafo de trazabilidad y cadena de custodia al final de Sección 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1696f"/>
          <w:sz w:val="24"/>
          <w:szCs w:val="24"/>
          <w:rtl w:val="0"/>
        </w:rPr>
        <w:t xml:space="preserve">3. Nota de intención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Los cambios anclan la cédula al CAPÍTULO SAN LUIS POTOSÍ, vinculando cada evaluación al marco normativo del piloto de separación en cinco fracciones.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refuerza la trazabilidad documental al exigir que toda evidencia esté fechada, foliada y custodiada conforme al protocolo del Capítulo.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sección de adecuaciones mínimas y el veredicto final de auditoría permiten distinguir residenciales listos para operación inmediata de aquellos que requieren inversiones previas.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campo de zona de prioridad municipal facilita la priorización territorial del piloto.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nota de categoría orienta la decisión del Municipio para seleccionar candidatos con base en su clasificación técnica.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2240" w:w="15840" w:orient="landscape"/>
      <w:pgMar w:bottom="1417" w:top="1417" w:left="1417" w:right="141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4"/>
        <w:szCs w:val="14"/>
        <w:rtl w:val="0"/>
      </w:rPr>
      <w:t xml:space="preserve">CAPÍTULO SAN LUIS POTOSÍ – Fase 3 (Piloto) – Cédula de idoneidad Vfinal.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5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Cédula de Evaluación de Idoneidad Residencial — Auditoría técnica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5cbIYRlcwVMDev2yCaIIvzlV5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VlCSGdUUmVkc09nTEFLdjk1TEZHYVNPbzFKUm5fcT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2026-03-19T17:46:14.835Z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