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01696f"/>
          <w:sz w:val="28"/>
          <w:szCs w:val="28"/>
        </w:rPr>
      </w:pPr>
      <w:r w:rsidDel="00000000" w:rsidR="00000000" w:rsidRPr="00000000">
        <w:rPr>
          <w:b w:val="1"/>
          <w:bCs w:val="1"/>
          <w:color w:val="01696f"/>
          <w:sz w:val="28"/>
          <w:szCs w:val="28"/>
          <w:rtl w:val="0"/>
        </w:rPr>
        <w:t xml:space="preserve">FORMATO DE BITÁCORA SEMANAL – ÁREA DE RESIDUOS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Datos de identificación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Condominio / Edificio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Del ___/___/______ al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Contacto (teléfono / correo)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Registro diario de fracciones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Registrar un renglón por cada fracción recolectada cada día. Si una fracción no se recolecta cierto día, dejar el renglón en blanco. Pesar con báscula de piso (precisión ±0.5 kg).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500"/>
        <w:gridCol w:w="1100"/>
        <w:gridCol w:w="1560"/>
        <w:gridCol w:w="2000"/>
        <w:gridCol w:w="2000"/>
        <w:tblGridChange w:id="0">
          <w:tblGrid>
            <w:gridCol w:w="1200"/>
            <w:gridCol w:w="1500"/>
            <w:gridCol w:w="1100"/>
            <w:gridCol w:w="15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Pureza visual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Escala de pureza visual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Contaminación grave (&gt;30% material ajeno)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Contaminación moderada (15-30%)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Aceptable (5-15% de contaminación)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Buena (&lt;5% de contaminación)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Excelente (fracción limpia)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Resumen semanal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500"/>
        <w:gridCol w:w="2330"/>
        <w:gridCol w:w="2330"/>
        <w:tblGridChange w:id="0">
          <w:tblGrid>
            <w:gridCol w:w="1700"/>
            <w:gridCol w:w="1500"/>
            <w:gridCol w:w="1500"/>
            <w:gridCol w:w="2330"/>
            <w:gridCol w:w="2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kg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Promedio pureza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 recurrente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correctiva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Orgánico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Papel/cartón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Plásticos (incl. 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Vidrio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Metales (aluminio)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Firmas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del condominio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Inspector municipal / concesionario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Nombre: ___________________Firma: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Nombre: ___________________Firma: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Fecha de entrega: ___/___/______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