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1a1a"/>
          <w:sz w:val="84"/>
          <w:szCs w:val="84"/>
        </w:rPr>
        <w:t xml:space="preserve">ALQUIMIA</w:t>
      </w:r>
    </w:p>
    <w:p>
      <w:pPr>
        <w:pBdr>
          <w:bottom w:val="single" w:color="1a1a1a" w:sz="12" w:space="1"/>
        </w:pBdr>
        <w:spacing w:before="720"/>
      </w:pPr>
      <w:r>
        <w:t xml:space="preserve"/>
      </w:r>
    </w:p>
    <w:p>
      <w:pPr>
        <w:spacing w:before="72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Reporte ESG Trimestral</w:t>
      </w:r>
    </w:p>
    <w:p>
      <w:pPr>
        <w:spacing w:before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Doble materialidad GRI 3:2021 · CSRD ESRS 1:2023</w:t>
      </w:r>
    </w:p>
    <w:p>
      <w:pPr>
        <w:spacing w:before="72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[MUNICIPIO], [ESTADO]</w:t>
      </w:r>
    </w:p>
    <w:p>
      <w:pPr>
        <w:spacing w:before="3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Trimestre: [TRIMESTRE] · Año: [ANO]</w:t>
      </w:r>
    </w:p>
    <w:p>
      <w:pPr>
        <w:spacing w:before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Programa Municipal de Gestión Integral de RSU</w:t>
      </w:r>
    </w:p>
    <w:p>
      <w:pPr>
        <w:spacing w:before="48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Versión [VERSION] · [FECHA]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Índice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Resumen Ejecutivo del trimestre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Métricas ambientales (E)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Métricas sociales (S)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Métricas de gobernanza (G)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Análisis de doble materialidad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Avance del programa contra Plan Maestro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Control presupuestal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Riesgos materializados y nuevos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Cumplimiento de estándares declarados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Bibliografía y citas verificables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Resumen Ejecutivo del trimestre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 más relevante del periodo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Durante el trimestre [TRIMESTRE] del año [ANO], el programa de gestión integral de RSU de [MUNICIPIO] procesó [TONELADAS_PROCESADAS] toneladas de residuos. La tasa de captura de materiales valorizables alcanzó [TASA_CAPTURA] por ciento. Las emisiones de CO2-equivalente evitadas se cuantifican en [CO2E_EVITADO] toneladas.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Cumplimiento contra Plan Maestro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programa avanza al [PCT_AVANCE] por ciento del cumplimiento proyectado para este punto del cronograma. Los hitos cumplidos en el trimestre se documentan en la sección 6.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Desvíos identificados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desvíos materiales contra Plan Maestro identificados en este trimestre se enumeran en el Anexo V con sus causas raíz y acciones correctivas asignadas.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Métricas ambientales (E)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GRI 306-1 · Residuos generados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generación total durante el trimestre fue de [GENERACION_TRIMESTRE] toneladas, con composición porcentual por fracción documentada en el Anexo W. La metodología de medición sigue NMX-AA-015-1985 con apoyo de balanzas certificadas en los centros de acopio.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GRI 306-2 · Gestión de impactos significativos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acciones tomadas durante el trimestre para prevenir generación de residuos incluyen: campañas educativas en [N_COLONIAS] colonias, talleres en [N_ESCUELAS] escuelas, y convenios con [N_COMERCIOS] comercios formales. El detalle se incluye en el Anexo X.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GRI 306-3 · Residuos generados por composición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composición porcentual del trimestre desglosa orgánicos, papel y cartón, plásticos, vidrio, metales, y no valorizable, con cifras verificables de los reportes de los centros de acopio.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GRI 305-1 · Emisiones evitadas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emisiones evitadas se calculan con factores IPCC AR6 aplicados a las toneladas desviadas de disposición final. El cálculo detallado y sus fuentes se documentan en el Anexo 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Métricas sociales (S)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Empleos generados o sostenidos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Durante el trimestre el programa empleó directamente a [N_EMPLEADOS_DIRECTOS] personas y sostuvo [N_EMPLEADOS_INDIRECTOS] empleos indirectos en la cadena de valorización.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Participación ciudadana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participación ciudadana medida por tasa de cumplimiento con separación en origen alcanzó [TASA_CUMPLIMIENTO] por ciento en la zona piloto. La encuesta de percepción ciudadana del trimestre arrojó NPS de [NPS] puntos.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Salud pública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Indicadores de salud pública relacionados con manejo de residuos (incidencias de fauna nociva, denuncias por basura en vía pública) se documentan en el Anexo Z con comparativo contra trimestre anterior.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Métricas de gobernanza (G)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Sesiones del Comité de Seguimiento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Comité de Seguimiento sesionó [N_SESIONES] veces durante el trimestre. Las actas de cada sesión, con acuerdos y compromisos asignados, se incluyen como Anexo AA.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Cumplimiento normativo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programa mantiene cumplimiento con el Reglamento de Limpia reformado, la LGPGIR, y las normas oficiales aplicables. Las verificaciones realizadas por la Dirección de Servicios Públicos durante el trimestre se documentan en el Anexo BB.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Transparencia y rendición de cuentas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información del programa se publica trimestralmente en el portal de transparencia del municipio. El presente reporte ESG forma parte de la documentación pública del programa.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Análisis de doble materialidad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Metodología CSRD ESRS 1:2023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análisis de doble materialidad sigue la metodología establecida en CSRD ESRS 1:2023, considerando tanto la materialidad de impacto (efectos del programa hacia stakeholders y ambiente) como la materialidad financiera (efectos del entorno hacia el programa).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Stakeholders consultados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Durante el trimestre se consultaron los siguientes grupos de stakeholders para el análisis de materialidad: ciudadanía generadora, comunidad de pepenadores, recicladoras formales, autoridades estatales, banca de desarrollo, y prensa local. El detalle del proceso de consulta se documenta en el Anexo CC.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Matriz de materialidad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matriz de materialidad resultante identifica los temas que son simultáneamente material para los stakeholders y para el programa. Cada tema material lleva su evaluación de impacto y financiera, presentada en el Anexo DD.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Avance del programa contra Plan Maestro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Hitos cumplidos en el trimestre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hitos del Plan Maestro cumplidos durante el trimestre se enumeran con su criterio de cumplimiento verificado. Cada hito lleva la documentación de evidencia que sustenta el cumplimiento.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Hitos en riesgo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hitos del Plan Maestro que están en riesgo de no cumplirse en su fecha programada se identifican con su causa y la acción correctiva propuesta.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Control presupuestal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EVM (Earned Value Management)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control presupuestal sigue metodología EVM con tres métricas críticas: Cost Variance (CV), Schedule Variance (SV), y Estimate at Completion (EAC). Los valores del trimestre, con su comparativo contra trimestre anterior, se incluyen en el Anexo EE.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Desvíos y acciones correctivas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desvíos presupuestales materiales identificados durante el trimestre se documentan con su causa raíz y las acciones correctivas correspondientes.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Riesgos materializados y nuevos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Riesgos del registro inicial materializados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los riesgos identificados en M14 durante la fase de Validación, los siguientes se materializaron durante este trimestre con su mitigación aplicada.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Riesgos nuevos identificados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riesgos no previstos en el registro inicial se documentan con su evaluación de probabilidad e impacto según ISO 31000, y se agregan al registro vigente del programa.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Cumplimiento de estándares declarados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GRI 306:2020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cumplimiento con GRI 306-1, 306-2, 306-3 y 306-4 se verifica con base en los campos requeridos por cada contenido del estándar. El porcentaje de cumplimiento alcanza [GRI_306_PCT] por ciento.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ISO 14001:2015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elementos del sistema de gestión ambiental aplicables al programa se documentan con su nivel de cumplimiento.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9.3 Verificación de AUDITOR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agente AUDITOR de la Plataforma Alquimia verifica automáticamente, antes de la generación de este reporte, que cada cifra contenida tenga su cita verificable y que el cumplimiento agregado supere el umbral del 80 por ciento establecido para exports formales.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Bibliografía y citas verificables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bibliografía completa se compila al final con formato Alquimia adaptado de Chicago notes-bibliography. Cada cifra del reporte tiene su nota al pie correspondiente en el cuerpo del documento.</w:t>
      </w:r>
    </w:p>
    <w:p>
      <w:pPr>
        <w:spacing w:before="360"/>
      </w:pP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Reporting Initiative. GRI 306: Residuos 2020. Estándar de Reporte de Sostenibilidad. Ámsterdam: GRI, 2020.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Reporting Initiative. GRI 3: Temas Materiales 2021. Ámsterdam: GRI, 2021.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International Sustainability Standards Board. CSRD ESRS 1:2023 General Requirements. Frankfurt: ISSB, 2023.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ISO. ISO 14001:2015 Sistemas de Gestión Ambiental - Requisitos con orientación para su uso. Ginebra: ISO, 2015.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IPCC. Sixth Assessment Report (AR6): Climate Change 2021. Geneva: IPCC, 2021.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ISO. ISO 31000:2018 Gestión del Riesgo - Directrices. Ginebra: ISO, 2018.</w:t>
      </w:r>
    </w:p>
    <w:p>
      <w:pPr>
        <w:spacing w:after="12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Management Institute. PMBOK Guide - Séptima edición, capítulo de Earned Value Management. Newtown Square: PMI, 2021.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999999"/>
        <w:sz w:val="12"/>
        <w:szCs w:val="12"/>
      </w:rPr>
      <w:t xml:space="preserve">Reporte ESG generado con metodología Alquimia · alquimiaplatform.com · [FECHA]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ALQUIMIA · Reporte ESG · [MUNICIPIO] · [TRIMESTRE]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ESG Trimestral</dc:title>
  <dc:creator>Alquimia Platform</dc:creator>
  <cp:lastModifiedBy>Un-named</cp:lastModifiedBy>
  <cp:revision>1</cp:revision>
  <dcterms:created xsi:type="dcterms:W3CDTF">2026-06-02T18:20:37.557Z</dcterms:created>
  <dcterms:modified xsi:type="dcterms:W3CDTF">2026-06-02T18:20:37.557Z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