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r>
        <w:rPr>
          <w:rFonts w:ascii="Arial" w:cs="Arial" w:eastAsia="Arial" w:hAnsi="Arial"/>
          <w:b/>
          <w:bCs/>
          <w:color w:val="1a1a1a"/>
          <w:sz w:val="84"/>
          <w:szCs w:val="84"/>
        </w:rPr>
        <w:t xml:space="preserve">ALQUIMIA</w:t>
      </w:r>
    </w:p>
    <w:p>
      <w:pPr>
        <w:pBdr>
          <w:bottom w:val="single" w:color="1a1a1a" w:sz="12" w:space="1"/>
        </w:pBdr>
        <w:spacing w:before="720"/>
      </w:pPr>
      <w:r>
        <w:t xml:space="preserve"/>
      </w:r>
    </w:p>
    <w:p>
      <w:pPr>
        <w:spacing w:before="720"/>
      </w:pPr>
      <w:r>
        <w:rPr>
          <w:rFonts w:ascii="Arial" w:cs="Arial" w:eastAsia="Arial" w:hAnsi="Arial"/>
          <w:b/>
          <w:bCs/>
          <w:color w:val="1a1a1a"/>
          <w:sz w:val="44"/>
          <w:szCs w:val="44"/>
        </w:rPr>
        <w:t xml:space="preserve">Memoria Técnica Metodológica</w:t>
      </w:r>
    </w:p>
    <w:p>
      <w:pPr>
        <w:spacing w:before="120"/>
      </w:pPr>
      <w:r>
        <w:rPr>
          <w:rFonts w:ascii="Arial" w:cs="Arial" w:eastAsia="Arial" w:hAnsi="Arial"/>
          <w:color w:val="555555"/>
          <w:sz w:val="22"/>
          <w:szCs w:val="22"/>
        </w:rPr>
        <w:t xml:space="preserve">Cómo se construye cada cifra del sistema</w:t>
      </w:r>
    </w:p>
    <w:p>
      <w:pPr>
        <w:spacing w:before="720"/>
      </w:pPr>
      <w:r>
        <w:rPr>
          <w:rFonts w:ascii="Arial" w:cs="Arial" w:eastAsia="Arial" w:hAnsi="Arial"/>
          <w:color w:val="666666"/>
          <w:sz w:val="18"/>
          <w:szCs w:val="18"/>
        </w:rPr>
        <w:t xml:space="preserve">Versión [VERSION] · [FECHA]</w:t>
      </w:r>
    </w:p>
    <w:p>
      <w:r>
        <w:br w:type="page"/>
      </w:r>
    </w:p>
    <w:p>
      <w:pPr>
        <w:pStyle w:val="Heading1"/>
        <w:spacing w:after="240" w:before="480"/>
      </w:pPr>
      <w:r>
        <w:rPr>
          <w:rFonts w:ascii="Arial" w:cs="Arial" w:eastAsia="Arial" w:hAnsi="Arial"/>
          <w:b/>
          <w:bCs/>
          <w:color w:val="1a1a1a"/>
          <w:sz w:val="36"/>
          <w:szCs w:val="36"/>
        </w:rPr>
        <w:t xml:space="preserve">Introducción</w:t>
      </w:r>
    </w:p>
    <w:p>
      <w:pPr>
        <w:spacing w:after="120" w:before="120"/>
      </w:pPr>
      <w:r>
        <w:rPr>
          <w:rFonts w:ascii="Arial" w:cs="Arial" w:eastAsia="Arial" w:hAnsi="Arial"/>
          <w:color w:val="333333"/>
          <w:sz w:val="22"/>
          <w:szCs w:val="22"/>
        </w:rPr>
        <w:t xml:space="preserve">Este documento es la memoria técnica metodológica de la plataforma Alquimia. Su propósito es documentar, con total transparencia, cómo se construye cada cifra que aparece en los documentos generados por el sistema. La memoria es un documento vivo que se publica abiertamente en alquimiaplatform.com/metodologia para que cualquier auditor, regidor, ciudadano, o consultor externo pueda verificar la trazabilidad de cada dato.</w:t>
      </w:r>
    </w:p>
    <w:p>
      <w:pPr>
        <w:spacing w:after="120" w:before="120"/>
      </w:pPr>
      <w:r>
        <w:rPr>
          <w:rFonts w:ascii="Arial" w:cs="Arial" w:eastAsia="Arial" w:hAnsi="Arial"/>
          <w:color w:val="333333"/>
          <w:sz w:val="22"/>
          <w:szCs w:val="22"/>
        </w:rPr>
        <w:t xml:space="preserve">Alquimia opera bajo el principio inamovible de cero invención. Esta memoria es la materialización institucional de ese principio: la garantía de que cada número en cada documento es justificable.</w:t>
      </w:r>
    </w:p>
    <w:p>
      <w:r>
        <w:br w:type="page"/>
      </w:r>
    </w:p>
    <w:p>
      <w:pPr>
        <w:pStyle w:val="Heading1"/>
        <w:spacing w:after="240" w:before="480"/>
      </w:pPr>
      <w:r>
        <w:rPr>
          <w:rFonts w:ascii="Arial" w:cs="Arial" w:eastAsia="Arial" w:hAnsi="Arial"/>
          <w:b/>
          <w:bCs/>
          <w:color w:val="1a1a1a"/>
          <w:sz w:val="36"/>
          <w:szCs w:val="36"/>
        </w:rPr>
        <w:t xml:space="preserve">1. La filosofía inamovible</w:t>
      </w:r>
    </w:p>
    <w:p>
      <w:pPr>
        <w:pStyle w:val="Heading2"/>
        <w:spacing w:after="180" w:before="360"/>
      </w:pPr>
      <w:r>
        <w:rPr>
          <w:rFonts w:ascii="Arial" w:cs="Arial" w:eastAsia="Arial" w:hAnsi="Arial"/>
          <w:b/>
          <w:bCs/>
          <w:color w:val="1a1a1a"/>
          <w:sz w:val="26"/>
          <w:szCs w:val="26"/>
        </w:rPr>
        <w:t xml:space="preserve">1.1 Cero invención</w:t>
      </w:r>
    </w:p>
    <w:p>
      <w:pPr>
        <w:spacing w:after="120" w:before="120"/>
      </w:pPr>
      <w:r>
        <w:rPr>
          <w:rFonts w:ascii="Arial" w:cs="Arial" w:eastAsia="Arial" w:hAnsi="Arial"/>
          <w:color w:val="333333"/>
          <w:sz w:val="22"/>
          <w:szCs w:val="22"/>
        </w:rPr>
        <w:t xml:space="preserve">Ninguna cifra en el sistema proviene de invención. Toda cifra cae en una de tres categorías permitidas: investigada, calculada, o aportada por el cliente. Cualquier dato que no encaje en una de estas tres categorías no entra al sistema.</w:t>
      </w:r>
    </w:p>
    <w:p>
      <w:pPr>
        <w:pStyle w:val="Heading2"/>
        <w:spacing w:after="180" w:before="360"/>
      </w:pPr>
      <w:r>
        <w:rPr>
          <w:rFonts w:ascii="Arial" w:cs="Arial" w:eastAsia="Arial" w:hAnsi="Arial"/>
          <w:b/>
          <w:bCs/>
          <w:color w:val="1a1a1a"/>
          <w:sz w:val="26"/>
          <w:szCs w:val="26"/>
        </w:rPr>
        <w:t xml:space="preserve">1.2 Las tres categorías permitidas</w:t>
      </w:r>
    </w:p>
    <w:p>
      <w:pPr>
        <w:pStyle w:val="Heading3"/>
        <w:spacing w:after="120" w:before="240"/>
      </w:pPr>
      <w:r>
        <w:rPr>
          <w:rFonts w:ascii="Arial" w:cs="Arial" w:eastAsia="Arial" w:hAnsi="Arial"/>
          <w:b/>
          <w:bCs/>
          <w:color w:val="333333"/>
          <w:sz w:val="22"/>
          <w:szCs w:val="22"/>
        </w:rPr>
        <w:t xml:space="preserve">Investigada</w:t>
      </w:r>
    </w:p>
    <w:p>
      <w:pPr>
        <w:spacing w:after="120" w:before="120"/>
      </w:pPr>
      <w:r>
        <w:rPr>
          <w:rFonts w:ascii="Arial" w:cs="Arial" w:eastAsia="Arial" w:hAnsi="Arial"/>
          <w:color w:val="333333"/>
          <w:sz w:val="22"/>
          <w:szCs w:val="22"/>
        </w:rPr>
        <w:t xml:space="preserve">Un dato es investigado cuando proviene de una fuente externa identificable. Cada dato investigado lleva: institución emisora, título del documento, año de publicación, URL si aplica, y fecha en que se consultó la fuente. Ejemplos: población de un municipio según INEGI Censo 2020, factor de emisión de metano según IPCC AR6, tasa de descuento según SHCP.</w:t>
      </w:r>
    </w:p>
    <w:p>
      <w:pPr>
        <w:pStyle w:val="Heading3"/>
        <w:spacing w:after="120" w:before="240"/>
      </w:pPr>
      <w:r>
        <w:rPr>
          <w:rFonts w:ascii="Arial" w:cs="Arial" w:eastAsia="Arial" w:hAnsi="Arial"/>
          <w:b/>
          <w:bCs/>
          <w:color w:val="333333"/>
          <w:sz w:val="22"/>
          <w:szCs w:val="22"/>
        </w:rPr>
        <w:t xml:space="preserve">Calculada</w:t>
      </w:r>
    </w:p>
    <w:p>
      <w:pPr>
        <w:spacing w:after="120" w:before="120"/>
      </w:pPr>
      <w:r>
        <w:rPr>
          <w:rFonts w:ascii="Arial" w:cs="Arial" w:eastAsia="Arial" w:hAnsi="Arial"/>
          <w:color w:val="333333"/>
          <w:sz w:val="22"/>
          <w:szCs w:val="22"/>
        </w:rPr>
        <w:t xml:space="preserve">Un dato es calculado cuando deriva de uno o más datos investigados mediante una fórmula transparente. Cada dato calculado lleva: la fórmula exacta utilizada, los datos investigados que la alimentan con sus citas, y un sello visible que indica al usuario que es un cálculo y no un dato directo. Ejemplo: generación total de RSU diaria calculada como población INEGI multiplicada por generación per cápita Banco Mundial.</w:t>
      </w:r>
    </w:p>
    <w:p>
      <w:pPr>
        <w:pStyle w:val="Heading3"/>
        <w:spacing w:after="120" w:before="240"/>
      </w:pPr>
      <w:r>
        <w:rPr>
          <w:rFonts w:ascii="Arial" w:cs="Arial" w:eastAsia="Arial" w:hAnsi="Arial"/>
          <w:b/>
          <w:bCs/>
          <w:color w:val="333333"/>
          <w:sz w:val="22"/>
          <w:szCs w:val="22"/>
        </w:rPr>
        <w:t xml:space="preserve">Aportada por el cliente</w:t>
      </w:r>
    </w:p>
    <w:p>
      <w:pPr>
        <w:spacing w:after="120" w:before="120"/>
      </w:pPr>
      <w:r>
        <w:rPr>
          <w:rFonts w:ascii="Arial" w:cs="Arial" w:eastAsia="Arial" w:hAnsi="Arial"/>
          <w:color w:val="333333"/>
          <w:sz w:val="22"/>
          <w:szCs w:val="22"/>
        </w:rPr>
        <w:t xml:space="preserve">Un dato es aportado por el cliente cuando proviene de un documento institucional subido por el municipio a la plataforma. Cada dato aportado lleva: el documento fuente, la página específica, y una cita literal verificable. Ejemplo: frecuencia de recolección establecida en el artículo 14 del Reglamento de Limpia vigente.</w:t>
      </w:r>
    </w:p>
    <w:p>
      <w:pPr>
        <w:pStyle w:val="Heading2"/>
        <w:spacing w:after="180" w:before="360"/>
      </w:pPr>
      <w:r>
        <w:rPr>
          <w:rFonts w:ascii="Arial" w:cs="Arial" w:eastAsia="Arial" w:hAnsi="Arial"/>
          <w:b/>
          <w:bCs/>
          <w:color w:val="1a1a1a"/>
          <w:sz w:val="26"/>
          <w:szCs w:val="26"/>
        </w:rPr>
        <w:t xml:space="preserve">1.3 Lo que el sistema nunca hace</w:t>
      </w:r>
    </w:p>
    <w:p>
      <w:pPr>
        <w:spacing w:after="120" w:before="120"/>
      </w:pPr>
      <w:r>
        <w:rPr>
          <w:rFonts w:ascii="Arial" w:cs="Arial" w:eastAsia="Arial" w:hAnsi="Arial"/>
          <w:color w:val="333333"/>
          <w:sz w:val="22"/>
          <w:szCs w:val="22"/>
        </w:rPr>
        <w:t xml:space="preserve">Bajo ningún supuesto el sistema infiere cifras sin sustento. No usa machine learning opaco que produzca números sin fórmula auditable. No completa campos vacíos con valores predeterminados que no sean explícitamente cero o nulo.</w:t>
      </w:r>
    </w:p>
    <w:p>
      <w:r>
        <w:br w:type="page"/>
      </w:r>
    </w:p>
    <w:p>
      <w:pPr>
        <w:pStyle w:val="Heading1"/>
        <w:spacing w:after="240" w:before="480"/>
      </w:pPr>
      <w:r>
        <w:rPr>
          <w:rFonts w:ascii="Arial" w:cs="Arial" w:eastAsia="Arial" w:hAnsi="Arial"/>
          <w:b/>
          <w:bCs/>
          <w:color w:val="1a1a1a"/>
          <w:sz w:val="36"/>
          <w:szCs w:val="36"/>
        </w:rPr>
        <w:t xml:space="preserve">2. Fuentes universales aceptadas</w:t>
      </w:r>
    </w:p>
    <w:p>
      <w:pPr>
        <w:spacing w:after="120" w:before="120"/>
      </w:pPr>
      <w:r>
        <w:rPr>
          <w:rFonts w:ascii="Arial" w:cs="Arial" w:eastAsia="Arial" w:hAnsi="Arial"/>
          <w:color w:val="333333"/>
          <w:sz w:val="22"/>
          <w:szCs w:val="22"/>
        </w:rPr>
        <w:t xml:space="preserve">La plataforma mantiene una lista cerrada de fuentes universales aceptadas como referencia. Esta lista se actualiza trimestralmente cuando se publican nuevas versiones de los estándares o cuando organismos oficiales emiten correcciones a sus datos publicados.</w:t>
      </w:r>
    </w:p>
    <w:p>
      <w:pPr>
        <w:pStyle w:val="Heading2"/>
        <w:spacing w:after="180" w:before="360"/>
      </w:pPr>
      <w:r>
        <w:rPr>
          <w:rFonts w:ascii="Arial" w:cs="Arial" w:eastAsia="Arial" w:hAnsi="Arial"/>
          <w:b/>
          <w:bCs/>
          <w:color w:val="1a1a1a"/>
          <w:sz w:val="26"/>
          <w:szCs w:val="26"/>
        </w:rPr>
        <w:t xml:space="preserve">2.1 Fuentes nacionales mexicanas</w:t>
      </w:r>
    </w:p>
    <w:p>
      <w:pPr>
        <w:pStyle w:val="Heading3"/>
        <w:spacing w:after="120" w:before="240"/>
      </w:pPr>
      <w:r>
        <w:rPr>
          <w:rFonts w:ascii="Arial" w:cs="Arial" w:eastAsia="Arial" w:hAnsi="Arial"/>
          <w:b/>
          <w:bCs/>
          <w:color w:val="333333"/>
          <w:sz w:val="22"/>
          <w:szCs w:val="22"/>
        </w:rPr>
        <w:t xml:space="preserve">INEGI (Instituto Nacional de Estadística y Geografía)</w:t>
      </w:r>
    </w:p>
    <w:p>
      <w:pPr>
        <w:spacing w:after="120" w:before="120"/>
      </w:pPr>
      <w:r>
        <w:rPr>
          <w:rFonts w:ascii="Arial" w:cs="Arial" w:eastAsia="Arial" w:hAnsi="Arial"/>
          <w:color w:val="333333"/>
          <w:sz w:val="22"/>
          <w:szCs w:val="22"/>
        </w:rPr>
        <w:t xml:space="preserve">Fuente principal para datos demográficos, geoespaciales y económicos. Datasets aceptados: Censo de Población y Vivienda 2020, Marco Geoestadístico Nacional (versión vigente), Directorio Estadístico Nacional de Unidades Económicas (DENUE).</w:t>
      </w:r>
    </w:p>
    <w:p>
      <w:pPr>
        <w:pStyle w:val="Heading3"/>
        <w:spacing w:after="120" w:before="240"/>
      </w:pPr>
      <w:r>
        <w:rPr>
          <w:rFonts w:ascii="Arial" w:cs="Arial" w:eastAsia="Arial" w:hAnsi="Arial"/>
          <w:b/>
          <w:bCs/>
          <w:color w:val="333333"/>
          <w:sz w:val="22"/>
          <w:szCs w:val="22"/>
        </w:rPr>
        <w:t xml:space="preserve">SEMARNAT</w:t>
      </w:r>
    </w:p>
    <w:p>
      <w:pPr>
        <w:spacing w:after="120" w:before="120"/>
      </w:pPr>
      <w:r>
        <w:rPr>
          <w:rFonts w:ascii="Arial" w:cs="Arial" w:eastAsia="Arial" w:hAnsi="Arial"/>
          <w:color w:val="333333"/>
          <w:sz w:val="22"/>
          <w:szCs w:val="22"/>
        </w:rPr>
        <w:t xml:space="preserve">Fuente para normatividad ambiental y diagnósticos sectoriales. Datasets aceptados: Diagnóstico Básico para la Gestión Integral de los Residuos (versión más reciente publicada), NOMs en materia de residuos, autorizaciones de impacto ambiental.</w:t>
      </w:r>
    </w:p>
    <w:p>
      <w:pPr>
        <w:pStyle w:val="Heading3"/>
        <w:spacing w:after="120" w:before="240"/>
      </w:pPr>
      <w:r>
        <w:rPr>
          <w:rFonts w:ascii="Arial" w:cs="Arial" w:eastAsia="Arial" w:hAnsi="Arial"/>
          <w:b/>
          <w:bCs/>
          <w:color w:val="333333"/>
          <w:sz w:val="22"/>
          <w:szCs w:val="22"/>
        </w:rPr>
        <w:t xml:space="preserve">SHCP y banca de desarrollo</w:t>
      </w:r>
    </w:p>
    <w:p>
      <w:pPr>
        <w:spacing w:after="120" w:before="120"/>
      </w:pPr>
      <w:r>
        <w:rPr>
          <w:rFonts w:ascii="Arial" w:cs="Arial" w:eastAsia="Arial" w:hAnsi="Arial"/>
          <w:color w:val="333333"/>
          <w:sz w:val="22"/>
          <w:szCs w:val="22"/>
        </w:rPr>
        <w:t xml:space="preserve">Fuente para tasas de descuento, parámetros de evaluación socioeconómica, y criterios de financiamiento verde. Documentos aceptados: lineamientos vigentes de SHCP, criterios de NAFIN/BANOBRAS para sus líneas verdes, programa de bonos verdes municipales si aplica.</w:t>
      </w:r>
    </w:p>
    <w:p>
      <w:pPr>
        <w:pStyle w:val="Heading3"/>
        <w:spacing w:after="120" w:before="240"/>
      </w:pPr>
      <w:r>
        <w:rPr>
          <w:rFonts w:ascii="Arial" w:cs="Arial" w:eastAsia="Arial" w:hAnsi="Arial"/>
          <w:b/>
          <w:bCs/>
          <w:color w:val="333333"/>
          <w:sz w:val="22"/>
          <w:szCs w:val="22"/>
        </w:rPr>
        <w:t xml:space="preserve">CONAPO</w:t>
      </w:r>
    </w:p>
    <w:p>
      <w:pPr>
        <w:spacing w:after="120" w:before="120"/>
      </w:pPr>
      <w:r>
        <w:rPr>
          <w:rFonts w:ascii="Arial" w:cs="Arial" w:eastAsia="Arial" w:hAnsi="Arial"/>
          <w:color w:val="333333"/>
          <w:sz w:val="22"/>
          <w:szCs w:val="22"/>
        </w:rPr>
        <w:t xml:space="preserve">Fuente para proyecciones poblacionales. Dataset aceptado: Proyecciones de la Población de México y de las Entidades Federativas 2020-2070.</w:t>
      </w:r>
    </w:p>
    <w:p>
      <w:pPr>
        <w:pStyle w:val="Heading3"/>
        <w:spacing w:after="120" w:before="240"/>
      </w:pPr>
      <w:r>
        <w:rPr>
          <w:rFonts w:ascii="Arial" w:cs="Arial" w:eastAsia="Arial" w:hAnsi="Arial"/>
          <w:b/>
          <w:bCs/>
          <w:color w:val="333333"/>
          <w:sz w:val="22"/>
          <w:szCs w:val="22"/>
        </w:rPr>
        <w:t xml:space="preserve">ASF</w:t>
      </w:r>
    </w:p>
    <w:p>
      <w:pPr>
        <w:spacing w:after="120" w:before="120"/>
      </w:pPr>
      <w:r>
        <w:rPr>
          <w:rFonts w:ascii="Arial" w:cs="Arial" w:eastAsia="Arial" w:hAnsi="Arial"/>
          <w:color w:val="333333"/>
          <w:sz w:val="22"/>
          <w:szCs w:val="22"/>
        </w:rPr>
        <w:t xml:space="preserve">Fuente para datos de auditoría y fiscalización de programas municipales. Documentos aceptados: informes anuales del resultado de la fiscalización superior.</w:t>
      </w:r>
    </w:p>
    <w:p>
      <w:pPr>
        <w:pStyle w:val="Heading2"/>
        <w:spacing w:after="180" w:before="360"/>
      </w:pPr>
      <w:r>
        <w:rPr>
          <w:rFonts w:ascii="Arial" w:cs="Arial" w:eastAsia="Arial" w:hAnsi="Arial"/>
          <w:b/>
          <w:bCs/>
          <w:color w:val="1a1a1a"/>
          <w:sz w:val="26"/>
          <w:szCs w:val="26"/>
        </w:rPr>
        <w:t xml:space="preserve">2.2 Fuentes internacionales</w:t>
      </w:r>
    </w:p>
    <w:p>
      <w:pPr>
        <w:pStyle w:val="Heading3"/>
        <w:spacing w:after="120" w:before="240"/>
      </w:pPr>
      <w:r>
        <w:rPr>
          <w:rFonts w:ascii="Arial" w:cs="Arial" w:eastAsia="Arial" w:hAnsi="Arial"/>
          <w:b/>
          <w:bCs/>
          <w:color w:val="333333"/>
          <w:sz w:val="22"/>
          <w:szCs w:val="22"/>
        </w:rPr>
        <w:t xml:space="preserve">GRI (Global Reporting Initiative)</w:t>
      </w:r>
    </w:p>
    <w:p>
      <w:pPr>
        <w:spacing w:after="120" w:before="120"/>
      </w:pPr>
      <w:r>
        <w:rPr>
          <w:rFonts w:ascii="Arial" w:cs="Arial" w:eastAsia="Arial" w:hAnsi="Arial"/>
          <w:color w:val="333333"/>
          <w:sz w:val="22"/>
          <w:szCs w:val="22"/>
        </w:rPr>
        <w:t xml:space="preserve">Estándares aceptados con sus versiones específicas: GRI 1: Fundamentos 2021, GRI 2: Contenidos Generales 2021, GRI 3: Temas Materiales 2021, GRI 306: Residuos 2020, GRI 305: Emisiones 2016.</w:t>
      </w:r>
    </w:p>
    <w:p>
      <w:pPr>
        <w:pStyle w:val="Heading3"/>
        <w:spacing w:after="120" w:before="240"/>
      </w:pPr>
      <w:r>
        <w:rPr>
          <w:rFonts w:ascii="Arial" w:cs="Arial" w:eastAsia="Arial" w:hAnsi="Arial"/>
          <w:b/>
          <w:bCs/>
          <w:color w:val="333333"/>
          <w:sz w:val="22"/>
          <w:szCs w:val="22"/>
        </w:rPr>
        <w:t xml:space="preserve">ISO</w:t>
      </w:r>
    </w:p>
    <w:p>
      <w:pPr>
        <w:spacing w:after="120" w:before="120"/>
      </w:pPr>
      <w:r>
        <w:rPr>
          <w:rFonts w:ascii="Arial" w:cs="Arial" w:eastAsia="Arial" w:hAnsi="Arial"/>
          <w:color w:val="333333"/>
          <w:sz w:val="22"/>
          <w:szCs w:val="22"/>
        </w:rPr>
        <w:t xml:space="preserve">Normas aceptadas: ISO 14001:2015 sistemas de gestión ambiental, ISO 31000:2018 gestión del riesgo, ISO 26000:2010 responsabilidad social, ISO 14040/14044 análisis de ciclo de vida.</w:t>
      </w:r>
    </w:p>
    <w:p>
      <w:pPr>
        <w:pStyle w:val="Heading3"/>
        <w:spacing w:after="120" w:before="240"/>
      </w:pPr>
      <w:r>
        <w:rPr>
          <w:rFonts w:ascii="Arial" w:cs="Arial" w:eastAsia="Arial" w:hAnsi="Arial"/>
          <w:b/>
          <w:bCs/>
          <w:color w:val="333333"/>
          <w:sz w:val="22"/>
          <w:szCs w:val="22"/>
        </w:rPr>
        <w:t xml:space="preserve">IPCC</w:t>
      </w:r>
    </w:p>
    <w:p>
      <w:pPr>
        <w:spacing w:after="120" w:before="120"/>
      </w:pPr>
      <w:r>
        <w:rPr>
          <w:rFonts w:ascii="Arial" w:cs="Arial" w:eastAsia="Arial" w:hAnsi="Arial"/>
          <w:color w:val="333333"/>
          <w:sz w:val="22"/>
          <w:szCs w:val="22"/>
        </w:rPr>
        <w:t xml:space="preserve">Sixth Assessment Report (AR6) 2021. Especialmente los factores de emisión de metano de sitios de disposición final aplicables a contexto latinoamericano.</w:t>
      </w:r>
    </w:p>
    <w:p>
      <w:pPr>
        <w:pStyle w:val="Heading3"/>
        <w:spacing w:after="120" w:before="240"/>
      </w:pPr>
      <w:r>
        <w:rPr>
          <w:rFonts w:ascii="Arial" w:cs="Arial" w:eastAsia="Arial" w:hAnsi="Arial"/>
          <w:b/>
          <w:bCs/>
          <w:color w:val="333333"/>
          <w:sz w:val="22"/>
          <w:szCs w:val="22"/>
        </w:rPr>
        <w:t xml:space="preserve">Banco Mundial</w:t>
      </w:r>
    </w:p>
    <w:p>
      <w:pPr>
        <w:spacing w:after="120" w:before="120"/>
      </w:pPr>
      <w:r>
        <w:rPr>
          <w:rFonts w:ascii="Arial" w:cs="Arial" w:eastAsia="Arial" w:hAnsi="Arial"/>
          <w:color w:val="333333"/>
          <w:sz w:val="22"/>
          <w:szCs w:val="22"/>
        </w:rPr>
        <w:t xml:space="preserve">Reportes aceptados: What a Waste 3.0 (2024), Urban Solid Waste Management series, indicadores Wasteaware ISWM.</w:t>
      </w:r>
    </w:p>
    <w:p>
      <w:pPr>
        <w:pStyle w:val="Heading3"/>
        <w:spacing w:after="120" w:before="240"/>
      </w:pPr>
      <w:r>
        <w:rPr>
          <w:rFonts w:ascii="Arial" w:cs="Arial" w:eastAsia="Arial" w:hAnsi="Arial"/>
          <w:b/>
          <w:bCs/>
          <w:color w:val="333333"/>
          <w:sz w:val="22"/>
          <w:szCs w:val="22"/>
        </w:rPr>
        <w:t xml:space="preserve">ONU</w:t>
      </w:r>
    </w:p>
    <w:p>
      <w:pPr>
        <w:spacing w:after="120" w:before="120"/>
      </w:pPr>
      <w:r>
        <w:rPr>
          <w:rFonts w:ascii="Arial" w:cs="Arial" w:eastAsia="Arial" w:hAnsi="Arial"/>
          <w:color w:val="333333"/>
          <w:sz w:val="22"/>
          <w:szCs w:val="22"/>
        </w:rPr>
        <w:t xml:space="preserve">ODS 11.6.1 indicador específico de proporción de residuos urbanos recolectados regularmente y descargados adecuadamente. Acuerdo de Escazú para acceso a información ambiental.</w:t>
      </w:r>
    </w:p>
    <w:p>
      <w:r>
        <w:br w:type="page"/>
      </w:r>
    </w:p>
    <w:p>
      <w:pPr>
        <w:pStyle w:val="Heading1"/>
        <w:spacing w:after="240" w:before="480"/>
      </w:pPr>
      <w:r>
        <w:rPr>
          <w:rFonts w:ascii="Arial" w:cs="Arial" w:eastAsia="Arial" w:hAnsi="Arial"/>
          <w:b/>
          <w:bCs/>
          <w:color w:val="1a1a1a"/>
          <w:sz w:val="36"/>
          <w:szCs w:val="36"/>
        </w:rPr>
        <w:t xml:space="preserve">3. Fórmulas universales del sistema</w:t>
      </w:r>
    </w:p>
    <w:p>
      <w:pPr>
        <w:pStyle w:val="Heading2"/>
        <w:spacing w:after="180" w:before="360"/>
      </w:pPr>
      <w:r>
        <w:rPr>
          <w:rFonts w:ascii="Arial" w:cs="Arial" w:eastAsia="Arial" w:hAnsi="Arial"/>
          <w:b/>
          <w:bCs/>
          <w:color w:val="1a1a1a"/>
          <w:sz w:val="26"/>
          <w:szCs w:val="26"/>
        </w:rPr>
        <w:t xml:space="preserve">3.1 Generación per cápita estimada</w:t>
      </w:r>
    </w:p>
    <w:p>
      <w:pPr>
        <w:spacing w:after="120" w:before="120"/>
      </w:pPr>
      <w:r>
        <w:rPr>
          <w:rFonts w:ascii="Arial" w:cs="Arial" w:eastAsia="Arial" w:hAnsi="Arial"/>
          <w:color w:val="333333"/>
          <w:sz w:val="22"/>
          <w:szCs w:val="22"/>
        </w:rPr>
        <w:t xml:space="preserve">Cuando un municipio no cuenta con estudio de cuarteo NMX-AA-015-1985 verificable, la generación per cápita se estima con la siguiente fórmula:</w:t>
      </w:r>
    </w:p>
    <w:p>
      <w:pPr>
        <w:spacing w:after="120" w:before="120"/>
      </w:pPr>
      <w:r>
        <w:rPr>
          <w:rFonts w:ascii="Arial" w:cs="Arial" w:eastAsia="Arial" w:hAnsi="Arial"/>
          <w:i/>
          <w:iCs/>
          <w:color w:val="333333"/>
          <w:sz w:val="22"/>
          <w:szCs w:val="22"/>
        </w:rPr>
        <w:t xml:space="preserve">Generación per cápita = factor benchmark Banco Mundial para municipios de rango poblacional X, donde X se determina por la población INEGI del municipio.</w:t>
      </w:r>
    </w:p>
    <w:p>
      <w:pPr>
        <w:spacing w:after="120" w:before="120"/>
      </w:pPr>
      <w:r>
        <w:rPr>
          <w:rFonts w:ascii="Arial" w:cs="Arial" w:eastAsia="Arial" w:hAnsi="Arial"/>
          <w:color w:val="333333"/>
          <w:sz w:val="22"/>
          <w:szCs w:val="22"/>
        </w:rPr>
        <w:t xml:space="preserve">Los factores benchmark del Banco Mundial se actualizan según la versión más reciente de What a Waste publicada al momento del cálculo. La cita explícita del factor utilizado se incluye en el documento exportado.</w:t>
      </w:r>
    </w:p>
    <w:p>
      <w:pPr>
        <w:pStyle w:val="Heading2"/>
        <w:spacing w:after="180" w:before="360"/>
      </w:pPr>
      <w:r>
        <w:rPr>
          <w:rFonts w:ascii="Arial" w:cs="Arial" w:eastAsia="Arial" w:hAnsi="Arial"/>
          <w:b/>
          <w:bCs/>
          <w:color w:val="1a1a1a"/>
          <w:sz w:val="26"/>
          <w:szCs w:val="26"/>
        </w:rPr>
        <w:t xml:space="preserve">3.2 Generación total diaria</w:t>
      </w:r>
    </w:p>
    <w:p>
      <w:pPr>
        <w:spacing w:after="120" w:before="120"/>
      </w:pPr>
      <w:r>
        <w:rPr>
          <w:rFonts w:ascii="Arial" w:cs="Arial" w:eastAsia="Arial" w:hAnsi="Arial"/>
          <w:color w:val="333333"/>
          <w:sz w:val="22"/>
          <w:szCs w:val="22"/>
        </w:rPr>
        <w:t xml:space="preserve">Generación total diaria (toneladas) = Población INEGI × Generación per cápita (kg/hab/día) / 1000.</w:t>
      </w:r>
    </w:p>
    <w:p>
      <w:pPr>
        <w:spacing w:after="120" w:before="120"/>
      </w:pPr>
      <w:r>
        <w:rPr>
          <w:rFonts w:ascii="Arial" w:cs="Arial" w:eastAsia="Arial" w:hAnsi="Arial"/>
          <w:color w:val="333333"/>
          <w:sz w:val="22"/>
          <w:szCs w:val="22"/>
        </w:rPr>
        <w:t xml:space="preserve">Las dos variables del cálculo llevan sus citas correspondientes en el documento exportado.</w:t>
      </w:r>
    </w:p>
    <w:p>
      <w:pPr>
        <w:pStyle w:val="Heading2"/>
        <w:spacing w:after="180" w:before="360"/>
      </w:pPr>
      <w:r>
        <w:rPr>
          <w:rFonts w:ascii="Arial" w:cs="Arial" w:eastAsia="Arial" w:hAnsi="Arial"/>
          <w:b/>
          <w:bCs/>
          <w:color w:val="1a1a1a"/>
          <w:sz w:val="26"/>
          <w:szCs w:val="26"/>
        </w:rPr>
        <w:t xml:space="preserve">3.3 Emisiones de metano evitadas</w:t>
      </w:r>
    </w:p>
    <w:p>
      <w:pPr>
        <w:spacing w:after="120" w:before="120"/>
      </w:pPr>
      <w:r>
        <w:rPr>
          <w:rFonts w:ascii="Arial" w:cs="Arial" w:eastAsia="Arial" w:hAnsi="Arial"/>
          <w:color w:val="333333"/>
          <w:sz w:val="22"/>
          <w:szCs w:val="22"/>
        </w:rPr>
        <w:t xml:space="preserve">Las emisiones de metano evitadas por desviación de orgánicos del relleno sanitario se calculan según factor IPCC AR6 capítulo 7, con la fórmula:</w:t>
      </w:r>
    </w:p>
    <w:p>
      <w:pPr>
        <w:spacing w:after="120" w:before="120"/>
      </w:pPr>
      <w:r>
        <w:rPr>
          <w:rFonts w:ascii="Arial" w:cs="Arial" w:eastAsia="Arial" w:hAnsi="Arial"/>
          <w:i/>
          <w:iCs/>
          <w:color w:val="333333"/>
          <w:sz w:val="22"/>
          <w:szCs w:val="22"/>
        </w:rPr>
        <w:t xml:space="preserve">CO2-equivalente evitado (toneladas) = Toneladas de orgánicos desviadas × Factor IPCC AR6 × Potencial de calentamiento global de metano a 100 años (28).</w:t>
      </w:r>
    </w:p>
    <w:p>
      <w:pPr>
        <w:pStyle w:val="Heading2"/>
        <w:spacing w:after="180" w:before="360"/>
      </w:pPr>
      <w:r>
        <w:rPr>
          <w:rFonts w:ascii="Arial" w:cs="Arial" w:eastAsia="Arial" w:hAnsi="Arial"/>
          <w:b/>
          <w:bCs/>
          <w:color w:val="1a1a1a"/>
          <w:sz w:val="26"/>
          <w:szCs w:val="26"/>
        </w:rPr>
        <w:t xml:space="preserve">3.4 TIR y VPN de escenarios financieros</w:t>
      </w:r>
    </w:p>
    <w:p>
      <w:pPr>
        <w:spacing w:after="120" w:before="120"/>
      </w:pPr>
      <w:r>
        <w:rPr>
          <w:rFonts w:ascii="Arial" w:cs="Arial" w:eastAsia="Arial" w:hAnsi="Arial"/>
          <w:color w:val="333333"/>
          <w:sz w:val="22"/>
          <w:szCs w:val="22"/>
        </w:rPr>
        <w:t xml:space="preserve">TIR y VPN se calculan con metodología estándar de finanzas corporativas, con tasa de descuento publicada por SHCP para evaluación socioeconómica de proyectos públicos. Las series de flujos por año y supuesto se documentan explícitamente en el Plan Maestro.</w:t>
      </w:r>
    </w:p>
    <w:p>
      <w:pPr>
        <w:pStyle w:val="Heading2"/>
        <w:spacing w:after="180" w:before="360"/>
      </w:pPr>
      <w:r>
        <w:rPr>
          <w:rFonts w:ascii="Arial" w:cs="Arial" w:eastAsia="Arial" w:hAnsi="Arial"/>
          <w:b/>
          <w:bCs/>
          <w:color w:val="1a1a1a"/>
          <w:sz w:val="26"/>
          <w:szCs w:val="26"/>
        </w:rPr>
        <w:t xml:space="preserve">3.5 Costo de no actuar acumulado</w:t>
      </w:r>
    </w:p>
    <w:p>
      <w:pPr>
        <w:spacing w:after="120" w:before="120"/>
      </w:pPr>
      <w:r>
        <w:rPr>
          <w:rFonts w:ascii="Arial" w:cs="Arial" w:eastAsia="Arial" w:hAnsi="Arial"/>
          <w:color w:val="333333"/>
          <w:sz w:val="22"/>
          <w:szCs w:val="22"/>
        </w:rPr>
        <w:t xml:space="preserve">Costo acumulado a 10 años = suma anual de (costo operativo proyectado + costo de externalidades) descontado a tasa SHCP. El cálculo año por año, con todas sus fuentes y supuestos, se incluye como anexo del documento donde aparece la cifra.</w:t>
      </w:r>
    </w:p>
    <w:p>
      <w:r>
        <w:br w:type="page"/>
      </w:r>
    </w:p>
    <w:p>
      <w:pPr>
        <w:pStyle w:val="Heading1"/>
        <w:spacing w:after="240" w:before="480"/>
      </w:pPr>
      <w:r>
        <w:rPr>
          <w:rFonts w:ascii="Arial" w:cs="Arial" w:eastAsia="Arial" w:hAnsi="Arial"/>
          <w:b/>
          <w:bCs/>
          <w:color w:val="1a1a1a"/>
          <w:sz w:val="36"/>
          <w:szCs w:val="36"/>
        </w:rPr>
        <w:t xml:space="preserve">4. Sistema de citas</w:t>
      </w:r>
    </w:p>
    <w:p>
      <w:pPr>
        <w:pStyle w:val="Heading2"/>
        <w:spacing w:after="180" w:before="360"/>
      </w:pPr>
      <w:r>
        <w:rPr>
          <w:rFonts w:ascii="Arial" w:cs="Arial" w:eastAsia="Arial" w:hAnsi="Arial"/>
          <w:b/>
          <w:bCs/>
          <w:color w:val="1a1a1a"/>
          <w:sz w:val="26"/>
          <w:szCs w:val="26"/>
        </w:rPr>
        <w:t xml:space="preserve">4.1 Formato Alquimia adaptado de Chicago notes-bibliography</w:t>
      </w:r>
    </w:p>
    <w:p>
      <w:pPr>
        <w:spacing w:after="120" w:before="120"/>
      </w:pPr>
      <w:r>
        <w:rPr>
          <w:rFonts w:ascii="Arial" w:cs="Arial" w:eastAsia="Arial" w:hAnsi="Arial"/>
          <w:color w:val="333333"/>
          <w:sz w:val="22"/>
          <w:szCs w:val="22"/>
        </w:rPr>
        <w:t xml:space="preserve">Cada cifra que aparece en cualquier documento exportado por el sistema lleva una nota al pie de página con cita en formato Alquimia adaptado del estilo Chicago notes-bibliography. Este estilo es el más utilizado en consultoría técnica y reportes de sostenibilidad internacionales.</w:t>
      </w:r>
    </w:p>
    <w:p>
      <w:pPr>
        <w:pStyle w:val="Heading2"/>
        <w:spacing w:after="180" w:before="360"/>
      </w:pPr>
      <w:r>
        <w:rPr>
          <w:rFonts w:ascii="Arial" w:cs="Arial" w:eastAsia="Arial" w:hAnsi="Arial"/>
          <w:b/>
          <w:bCs/>
          <w:color w:val="1a1a1a"/>
          <w:sz w:val="26"/>
          <w:szCs w:val="26"/>
        </w:rPr>
        <w:t xml:space="preserve">4.2 Ejemplos de cita por tipo de fuente</w:t>
      </w:r>
    </w:p>
    <w:p>
      <w:pPr>
        <w:pStyle w:val="Heading3"/>
        <w:spacing w:after="120" w:before="240"/>
      </w:pPr>
      <w:r>
        <w:rPr>
          <w:rFonts w:ascii="Arial" w:cs="Arial" w:eastAsia="Arial" w:hAnsi="Arial"/>
          <w:b/>
          <w:bCs/>
          <w:color w:val="333333"/>
          <w:sz w:val="22"/>
          <w:szCs w:val="22"/>
        </w:rPr>
        <w:t xml:space="preserve">Cita de fuente INEGI</w:t>
      </w:r>
    </w:p>
    <w:p>
      <w:pPr>
        <w:spacing w:after="120" w:before="120"/>
      </w:pPr>
      <w:r>
        <w:rPr>
          <w:rFonts w:ascii="Arial" w:cs="Arial" w:eastAsia="Arial" w:hAnsi="Arial"/>
          <w:i/>
          <w:iCs/>
          <w:color w:val="333333"/>
          <w:sz w:val="22"/>
          <w:szCs w:val="22"/>
        </w:rPr>
        <w:t xml:space="preserve">² INEGI, Censo de Población y Vivienda 2020, Datos por municipio, [MUNICIPIO] (Aguascalientes: INEGI, 2021), https://www.inegi.org.mx/programas/ccpv/2020/, consultado el [FECHA].</w:t>
      </w:r>
    </w:p>
    <w:p>
      <w:pPr>
        <w:pStyle w:val="Heading3"/>
        <w:spacing w:after="120" w:before="240"/>
      </w:pPr>
      <w:r>
        <w:rPr>
          <w:rFonts w:ascii="Arial" w:cs="Arial" w:eastAsia="Arial" w:hAnsi="Arial"/>
          <w:b/>
          <w:bCs/>
          <w:color w:val="333333"/>
          <w:sz w:val="22"/>
          <w:szCs w:val="22"/>
        </w:rPr>
        <w:t xml:space="preserve">Cita de documento aportado por el cliente</w:t>
      </w:r>
    </w:p>
    <w:p>
      <w:pPr>
        <w:spacing w:after="120" w:before="120"/>
      </w:pPr>
      <w:r>
        <w:rPr>
          <w:rFonts w:ascii="Arial" w:cs="Arial" w:eastAsia="Arial" w:hAnsi="Arial"/>
          <w:i/>
          <w:iCs/>
          <w:color w:val="333333"/>
          <w:sz w:val="22"/>
          <w:szCs w:val="22"/>
        </w:rPr>
        <w:t xml:space="preserve">³ [MUNICIPIO], Reglamento de Limpia del Municipio, Periódico Oficial del Estado, Edición Extraordinaria, [FECHA_REGLAMENTO], artículo 14, página 8. Documento aportado por el cliente a la plataforma Alquimia el [FECHA_UPLOAD].</w:t>
      </w:r>
    </w:p>
    <w:p>
      <w:pPr>
        <w:pStyle w:val="Heading3"/>
        <w:spacing w:after="120" w:before="240"/>
      </w:pPr>
      <w:r>
        <w:rPr>
          <w:rFonts w:ascii="Arial" w:cs="Arial" w:eastAsia="Arial" w:hAnsi="Arial"/>
          <w:b/>
          <w:bCs/>
          <w:color w:val="333333"/>
          <w:sz w:val="22"/>
          <w:szCs w:val="22"/>
        </w:rPr>
        <w:t xml:space="preserve">Cita de cálculo derivado</w:t>
      </w:r>
    </w:p>
    <w:p>
      <w:pPr>
        <w:spacing w:after="120" w:before="120"/>
      </w:pPr>
      <w:r>
        <w:rPr>
          <w:rFonts w:ascii="Arial" w:cs="Arial" w:eastAsia="Arial" w:hAnsi="Arial"/>
          <w:i/>
          <w:iCs/>
          <w:color w:val="333333"/>
          <w:sz w:val="22"/>
          <w:szCs w:val="22"/>
        </w:rPr>
        <w:t xml:space="preserve">⁴ Cifra calculada por Alquimia con fórmula: Población INEGI × generación per cápita Banco Mundial. Fuentes: ² INEGI Censo 2020 y ⁵ Banco Mundial What a Waste 3.0 (2024). Metodología disponible en alquimiaplatform.com/metodologia.</w:t>
      </w:r>
    </w:p>
    <w:p>
      <w:pPr>
        <w:pStyle w:val="Heading2"/>
        <w:spacing w:after="180" w:before="360"/>
      </w:pPr>
      <w:r>
        <w:rPr>
          <w:rFonts w:ascii="Arial" w:cs="Arial" w:eastAsia="Arial" w:hAnsi="Arial"/>
          <w:b/>
          <w:bCs/>
          <w:color w:val="1a1a1a"/>
          <w:sz w:val="26"/>
          <w:szCs w:val="26"/>
        </w:rPr>
        <w:t xml:space="preserve">4.3 Bibliografía final</w:t>
      </w:r>
    </w:p>
    <w:p>
      <w:pPr>
        <w:spacing w:after="120" w:before="120"/>
      </w:pPr>
      <w:r>
        <w:rPr>
          <w:rFonts w:ascii="Arial" w:cs="Arial" w:eastAsia="Arial" w:hAnsi="Arial"/>
          <w:color w:val="333333"/>
          <w:sz w:val="22"/>
          <w:szCs w:val="22"/>
        </w:rPr>
        <w:t xml:space="preserve">Cada documento exportado cierra con sección de Bibliografía donde se compilan todas las fuentes citadas a lo largo del documento, ordenadas alfabéticamente por institución emisora. El sistema genera esta bibliografía automáticamente a partir de las citas utilizadas.</w:t>
      </w:r>
    </w:p>
    <w:p>
      <w:r>
        <w:br w:type="page"/>
      </w:r>
    </w:p>
    <w:p>
      <w:pPr>
        <w:pStyle w:val="Heading1"/>
        <w:spacing w:after="240" w:before="480"/>
      </w:pPr>
      <w:r>
        <w:rPr>
          <w:rFonts w:ascii="Arial" w:cs="Arial" w:eastAsia="Arial" w:hAnsi="Arial"/>
          <w:b/>
          <w:bCs/>
          <w:color w:val="1a1a1a"/>
          <w:sz w:val="36"/>
          <w:szCs w:val="36"/>
        </w:rPr>
        <w:t xml:space="preserve">5. Sellos visibles de origen</w:t>
      </w:r>
    </w:p>
    <w:p>
      <w:pPr>
        <w:pStyle w:val="Heading2"/>
        <w:spacing w:after="180" w:before="360"/>
      </w:pPr>
      <w:r>
        <w:rPr>
          <w:rFonts w:ascii="Arial" w:cs="Arial" w:eastAsia="Arial" w:hAnsi="Arial"/>
          <w:b/>
          <w:bCs/>
          <w:color w:val="1a1a1a"/>
          <w:sz w:val="26"/>
          <w:szCs w:val="26"/>
        </w:rPr>
        <w:t xml:space="preserve">5.1 Por qué los sellos son visibles</w:t>
      </w:r>
    </w:p>
    <w:p>
      <w:pPr>
        <w:spacing w:after="120" w:before="120"/>
      </w:pPr>
      <w:r>
        <w:rPr>
          <w:rFonts w:ascii="Arial" w:cs="Arial" w:eastAsia="Arial" w:hAnsi="Arial"/>
          <w:color w:val="333333"/>
          <w:sz w:val="22"/>
          <w:szCs w:val="22"/>
        </w:rPr>
        <w:t xml:space="preserve">Cada cifra en pantalla y en documentos exportados lleva un sello visible que indica su origen. Este sello no es decorativo, es parte de la garantía institucional de Alquimia: que el lector pueda saber, sin esfuerzo, de dónde viene cada número.</w:t>
      </w:r>
    </w:p>
    <w:p>
      <w:pPr>
        <w:pStyle w:val="Heading2"/>
        <w:spacing w:after="180" w:before="360"/>
      </w:pPr>
      <w:r>
        <w:rPr>
          <w:rFonts w:ascii="Arial" w:cs="Arial" w:eastAsia="Arial" w:hAnsi="Arial"/>
          <w:b/>
          <w:bCs/>
          <w:color w:val="1a1a1a"/>
          <w:sz w:val="26"/>
          <w:szCs w:val="26"/>
        </w:rPr>
        <w:t xml:space="preserve">5.2 Los cuatro sellos</w:t>
      </w:r>
    </w:p>
    <w:p>
      <w:pPr>
        <w:spacing w:after="120" w:before="120"/>
      </w:pPr>
      <w:r>
        <w:rPr>
          <w:rFonts w:ascii="Arial" w:cs="Arial" w:eastAsia="Arial" w:hAnsi="Arial"/>
          <w:color w:val="333333"/>
          <w:sz w:val="22"/>
          <w:szCs w:val="22"/>
        </w:rPr>
        <w:t xml:space="preserve">Investigado: dato de fuente externa verificable. Color sage.</w:t>
      </w:r>
    </w:p>
    <w:p>
      <w:pPr>
        <w:spacing w:after="120" w:before="120"/>
      </w:pPr>
      <w:r>
        <w:rPr>
          <w:rFonts w:ascii="Arial" w:cs="Arial" w:eastAsia="Arial" w:hAnsi="Arial"/>
          <w:color w:val="333333"/>
          <w:sz w:val="22"/>
          <w:szCs w:val="22"/>
        </w:rPr>
        <w:t xml:space="preserve">Calculado: dato derivado con fórmula transparente. Color amarillo institucional.</w:t>
      </w:r>
    </w:p>
    <w:p>
      <w:pPr>
        <w:spacing w:after="120" w:before="120"/>
      </w:pPr>
      <w:r>
        <w:rPr>
          <w:rFonts w:ascii="Arial" w:cs="Arial" w:eastAsia="Arial" w:hAnsi="Arial"/>
          <w:color w:val="333333"/>
          <w:sz w:val="22"/>
          <w:szCs w:val="22"/>
        </w:rPr>
        <w:t xml:space="preserve">De documento institucional: aportado por el cliente. Color azul institucional.</w:t>
      </w:r>
    </w:p>
    <w:p>
      <w:pPr>
        <w:spacing w:after="120" w:before="120"/>
      </w:pPr>
      <w:r>
        <w:rPr>
          <w:rFonts w:ascii="Arial" w:cs="Arial" w:eastAsia="Arial" w:hAnsi="Arial"/>
          <w:color w:val="333333"/>
          <w:sz w:val="22"/>
          <w:szCs w:val="22"/>
        </w:rPr>
        <w:t xml:space="preserve">Pendiente: campo vacío esperando documento o validación. Color gris con icono.</w:t>
      </w:r>
    </w:p>
    <w:p>
      <w:r>
        <w:br w:type="page"/>
      </w:r>
    </w:p>
    <w:p>
      <w:pPr>
        <w:pStyle w:val="Heading1"/>
        <w:spacing w:after="240" w:before="480"/>
      </w:pPr>
      <w:r>
        <w:rPr>
          <w:rFonts w:ascii="Arial" w:cs="Arial" w:eastAsia="Arial" w:hAnsi="Arial"/>
          <w:b/>
          <w:bCs/>
          <w:color w:val="1a1a1a"/>
          <w:sz w:val="36"/>
          <w:szCs w:val="36"/>
        </w:rPr>
        <w:t xml:space="preserve">6. Verificación por AUDITOR</w:t>
      </w:r>
    </w:p>
    <w:p>
      <w:pPr>
        <w:pStyle w:val="Heading2"/>
        <w:spacing w:after="180" w:before="360"/>
      </w:pPr>
      <w:r>
        <w:rPr>
          <w:rFonts w:ascii="Arial" w:cs="Arial" w:eastAsia="Arial" w:hAnsi="Arial"/>
          <w:b/>
          <w:bCs/>
          <w:color w:val="1a1a1a"/>
          <w:sz w:val="26"/>
          <w:szCs w:val="26"/>
        </w:rPr>
        <w:t xml:space="preserve">6.1 Qué hace AUDITOR antes de exportar</w:t>
      </w:r>
    </w:p>
    <w:p>
      <w:pPr>
        <w:spacing w:after="120" w:before="120"/>
      </w:pPr>
      <w:r>
        <w:rPr>
          <w:rFonts w:ascii="Arial" w:cs="Arial" w:eastAsia="Arial" w:hAnsi="Arial"/>
          <w:color w:val="333333"/>
          <w:sz w:val="22"/>
          <w:szCs w:val="22"/>
        </w:rPr>
        <w:t xml:space="preserve">Antes de generar cualquier documento exportable, el agente AUDITOR de la plataforma realiza tres verificaciones automáticas. Primero, que cada cifra del documento tenga su DataPoint válido en alguna de las tres categorías permitidas. Segundo, que cada estándar declarado en el documento tenga sus campos requeridos cumplidos. Tercero, que el porcentaje agregado de cumplimiento supere el umbral del 80 por ciento.</w:t>
      </w:r>
    </w:p>
    <w:p>
      <w:pPr>
        <w:pStyle w:val="Heading2"/>
        <w:spacing w:after="180" w:before="360"/>
      </w:pPr>
      <w:r>
        <w:rPr>
          <w:rFonts w:ascii="Arial" w:cs="Arial" w:eastAsia="Arial" w:hAnsi="Arial"/>
          <w:b/>
          <w:bCs/>
          <w:color w:val="1a1a1a"/>
          <w:sz w:val="26"/>
          <w:szCs w:val="26"/>
        </w:rPr>
        <w:t xml:space="preserve">6.2 Qué pasa si la verificación falla</w:t>
      </w:r>
    </w:p>
    <w:p>
      <w:pPr>
        <w:spacing w:after="120" w:before="120"/>
      </w:pPr>
      <w:r>
        <w:rPr>
          <w:rFonts w:ascii="Arial" w:cs="Arial" w:eastAsia="Arial" w:hAnsi="Arial"/>
          <w:color w:val="333333"/>
          <w:sz w:val="22"/>
          <w:szCs w:val="22"/>
        </w:rPr>
        <w:t xml:space="preserve">Si AUDITOR encuentra cifras sin DataPoint válido o cumplimiento debajo del umbral, bloquea la exportación y notifica al usuario qué específicamente falta. El cliente tiene tres opciones: completar los campos faltantes, ajustar los estándares declarados a cumplimiento parcial, o no declarar el estándar.</w:t>
      </w:r>
    </w:p>
    <w:p>
      <w:r>
        <w:br w:type="page"/>
      </w:r>
    </w:p>
    <w:p>
      <w:pPr>
        <w:pStyle w:val="Heading1"/>
        <w:spacing w:after="240" w:before="480"/>
      </w:pPr>
      <w:r>
        <w:rPr>
          <w:rFonts w:ascii="Arial" w:cs="Arial" w:eastAsia="Arial" w:hAnsi="Arial"/>
          <w:b/>
          <w:bCs/>
          <w:color w:val="1a1a1a"/>
          <w:sz w:val="36"/>
          <w:szCs w:val="36"/>
        </w:rPr>
        <w:t xml:space="preserve">7. Mantenimiento de la memoria metodológica</w:t>
      </w:r>
    </w:p>
    <w:p>
      <w:pPr>
        <w:pStyle w:val="Heading2"/>
        <w:spacing w:after="180" w:before="360"/>
      </w:pPr>
      <w:r>
        <w:rPr>
          <w:rFonts w:ascii="Arial" w:cs="Arial" w:eastAsia="Arial" w:hAnsi="Arial"/>
          <w:b/>
          <w:bCs/>
          <w:color w:val="1a1a1a"/>
          <w:sz w:val="26"/>
          <w:szCs w:val="26"/>
        </w:rPr>
        <w:t xml:space="preserve">7.1 Versionado</w:t>
      </w:r>
    </w:p>
    <w:p>
      <w:pPr>
        <w:spacing w:after="120" w:before="120"/>
      </w:pPr>
      <w:r>
        <w:rPr>
          <w:rFonts w:ascii="Arial" w:cs="Arial" w:eastAsia="Arial" w:hAnsi="Arial"/>
          <w:color w:val="333333"/>
          <w:sz w:val="22"/>
          <w:szCs w:val="22"/>
        </w:rPr>
        <w:t xml:space="preserve">Esta memoria metodológica se versiona explícitamente. Cuando se modifica un cálculo, una fuente, o se agrega un nuevo método al sistema, la versión incrementa. Los documentos exportados llevan la versión de la memoria metodológica vigente al momento de su generación.</w:t>
      </w:r>
    </w:p>
    <w:p>
      <w:pPr>
        <w:pStyle w:val="Heading2"/>
        <w:spacing w:after="180" w:before="360"/>
      </w:pPr>
      <w:r>
        <w:rPr>
          <w:rFonts w:ascii="Arial" w:cs="Arial" w:eastAsia="Arial" w:hAnsi="Arial"/>
          <w:b/>
          <w:bCs/>
          <w:color w:val="1a1a1a"/>
          <w:sz w:val="26"/>
          <w:szCs w:val="26"/>
        </w:rPr>
        <w:t xml:space="preserve">7.2 Cambios sustanciales</w:t>
      </w:r>
    </w:p>
    <w:p>
      <w:pPr>
        <w:spacing w:after="120" w:before="120"/>
      </w:pPr>
      <w:r>
        <w:rPr>
          <w:rFonts w:ascii="Arial" w:cs="Arial" w:eastAsia="Arial" w:hAnsi="Arial"/>
          <w:color w:val="333333"/>
          <w:sz w:val="22"/>
          <w:szCs w:val="22"/>
        </w:rPr>
        <w:t xml:space="preserve">Los cambios sustanciales en metodología (nueva fuente aceptada, cambio en fórmula universal, ajuste de criterio de cumplimiento) requieren revisión y firma del founder de Alquimia y se documentan en el changelog público de esta memoria.</w:t>
      </w:r>
    </w:p>
    <w:p>
      <w:pPr>
        <w:pStyle w:val="Heading2"/>
        <w:spacing w:after="180" w:before="360"/>
      </w:pPr>
      <w:r>
        <w:rPr>
          <w:rFonts w:ascii="Arial" w:cs="Arial" w:eastAsia="Arial" w:hAnsi="Arial"/>
          <w:b/>
          <w:bCs/>
          <w:color w:val="1a1a1a"/>
          <w:sz w:val="26"/>
          <w:szCs w:val="26"/>
        </w:rPr>
        <w:t xml:space="preserve">7.3 Auditoría externa</w:t>
      </w:r>
    </w:p>
    <w:p>
      <w:pPr>
        <w:spacing w:after="120" w:before="120"/>
      </w:pPr>
      <w:r>
        <w:rPr>
          <w:rFonts w:ascii="Arial" w:cs="Arial" w:eastAsia="Arial" w:hAnsi="Arial"/>
          <w:color w:val="333333"/>
          <w:sz w:val="22"/>
          <w:szCs w:val="22"/>
        </w:rPr>
        <w:t xml:space="preserve">Esta memoria metodológica está disponible públicamente para auditoría externa por cualquier interesado: regidores municipales, auditoras externas, consultores competidores, ciudadanos. La transparencia de la metodología es elemento de credibilidad institucional, no debilidad competitiva.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999999"/>
        <w:sz w:val="12"/>
        <w:szCs w:val="12"/>
      </w:rPr>
      <w:t xml:space="preserve">Documento metodológico Alquimia · alquimiaplatform.com/metodologia · [FECHA]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rFonts w:ascii="Arial" w:cs="Arial" w:eastAsia="Arial" w:hAnsi="Arial"/>
        <w:color w:val="888888"/>
        <w:sz w:val="14"/>
        <w:szCs w:val="14"/>
      </w:rPr>
      <w:t xml:space="preserve">ALQUIMIA · Memoria Técnica Metodológica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Técnica Metodológica</dc:title>
  <dc:creator>Alquimia Platform</dc:creator>
  <cp:lastModifiedBy>Un-named</cp:lastModifiedBy>
  <cp:revision>1</cp:revision>
  <dcterms:created xsi:type="dcterms:W3CDTF">2026-06-02T18:22:06.652Z</dcterms:created>
  <dcterms:modified xsi:type="dcterms:W3CDTF">2026-06-02T18:22:06.652Z</dcterms:modified>
</cp:coreProperties>
</file>

<file path=docProps/custom.xml><?xml version="1.0" encoding="utf-8"?>
<Properties xmlns="http://schemas.openxmlformats.org/officeDocument/2006/custom-properties" xmlns:vt="http://schemas.openxmlformats.org/officeDocument/2006/docPropsVTypes"/>
</file>