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r>
        <w:rPr>
          <w:rFonts w:ascii="Arial" w:cs="Arial" w:eastAsia="Arial" w:hAnsi="Arial"/>
          <w:b/>
          <w:bCs/>
          <w:color w:val="1a1a1a"/>
          <w:sz w:val="84"/>
          <w:szCs w:val="84"/>
        </w:rPr>
        <w:t xml:space="preserve">ALQUIMIA</w:t>
      </w:r>
    </w:p>
    <w:p>
      <w:pPr>
        <w:pBdr>
          <w:bottom w:val="single" w:color="1a1a1a" w:sz="12" w:space="1"/>
        </w:pBdr>
        <w:spacing w:before="720"/>
      </w:pPr>
      <w:r>
        <w:t xml:space="preserve"/>
      </w:r>
    </w:p>
    <w:p>
      <w:pPr>
        <w:spacing w:before="720"/>
      </w:pPr>
      <w:r>
        <w:rPr>
          <w:rFonts w:ascii="Arial" w:cs="Arial" w:eastAsia="Arial" w:hAnsi="Arial"/>
          <w:b/>
          <w:bCs/>
          <w:color w:val="1a1a1a"/>
          <w:sz w:val="44"/>
          <w:szCs w:val="44"/>
        </w:rPr>
        <w:t xml:space="preserve">Bibliografía Formato Alquimia</w:t>
      </w:r>
    </w:p>
    <w:p>
      <w:pPr>
        <w:spacing w:before="120"/>
      </w:pPr>
      <w:r>
        <w:rPr>
          <w:rFonts w:ascii="Arial" w:cs="Arial" w:eastAsia="Arial" w:hAnsi="Arial"/>
          <w:color w:val="555555"/>
          <w:sz w:val="22"/>
          <w:szCs w:val="22"/>
        </w:rPr>
        <w:t xml:space="preserve">Adaptado de Chicago notes-bibliography para consultoría técnica mexicana</w:t>
      </w:r>
    </w:p>
    <w:p>
      <w:r>
        <w:br w:type="page"/>
      </w:r>
    </w:p>
    <w:p>
      <w:pPr>
        <w:pStyle w:val="Heading1"/>
        <w:spacing w:after="240" w:before="480"/>
      </w:pPr>
      <w:r>
        <w:rPr>
          <w:rFonts w:ascii="Arial" w:cs="Arial" w:eastAsia="Arial" w:hAnsi="Arial"/>
          <w:b/>
          <w:bCs/>
          <w:color w:val="1a1a1a"/>
          <w:sz w:val="36"/>
          <w:szCs w:val="36"/>
        </w:rPr>
        <w:t xml:space="preserve">Por qué este formato</w:t>
      </w:r>
    </w:p>
    <w:p>
      <w:pPr>
        <w:spacing w:after="120" w:before="120"/>
      </w:pPr>
      <w:r>
        <w:rPr>
          <w:rFonts w:ascii="Arial" w:cs="Arial" w:eastAsia="Arial" w:hAnsi="Arial"/>
          <w:color w:val="333333"/>
          <w:sz w:val="22"/>
          <w:szCs w:val="22"/>
        </w:rPr>
        <w:t xml:space="preserve">Consultoría técnica seria no usa estrictamente Chicago ni APA. Las firmas reconocidas internacionalmente (McKinsey, BCG, Bain, Deloitte) usan un híbrido propio que combina elementos de Chicago notes-bibliography con convenciones de informes técnicos. Alquimia adopta este patrón porque es el más reconocido por reguladores, auditoras, banca de desarrollo y calificadoras crediticias.</w:t>
      </w:r>
    </w:p>
    <w:p>
      <w:pPr>
        <w:spacing w:after="120" w:before="120"/>
      </w:pPr>
      <w:r>
        <w:rPr>
          <w:rFonts w:ascii="Arial" w:cs="Arial" w:eastAsia="Arial" w:hAnsi="Arial"/>
          <w:color w:val="333333"/>
          <w:sz w:val="22"/>
          <w:szCs w:val="22"/>
        </w:rPr>
        <w:t xml:space="preserve">El formato Alquimia es estricto en tres aspectos: cada cifra del documento lleva nota al pie con cita completa, la bibliografía final compila todas las fuentes únicas usadas, y para estándares internacionales se cita con la convención propia del estándar (no se traduce a Chicago).</w:t>
      </w:r>
    </w:p>
    <w:p>
      <w:r>
        <w:br w:type="page"/>
      </w:r>
    </w:p>
    <w:p>
      <w:pPr>
        <w:pStyle w:val="Heading1"/>
        <w:spacing w:after="240" w:before="480"/>
      </w:pPr>
      <w:r>
        <w:rPr>
          <w:rFonts w:ascii="Arial" w:cs="Arial" w:eastAsia="Arial" w:hAnsi="Arial"/>
          <w:b/>
          <w:bCs/>
          <w:color w:val="1a1a1a"/>
          <w:sz w:val="36"/>
          <w:szCs w:val="36"/>
        </w:rPr>
        <w:t xml:space="preserve">Estructura de la cita en nota al pie</w:t>
      </w:r>
    </w:p>
    <w:p>
      <w:pPr>
        <w:pStyle w:val="Heading2"/>
        <w:spacing w:after="180" w:before="360"/>
      </w:pPr>
      <w:r>
        <w:rPr>
          <w:rFonts w:ascii="Arial" w:cs="Arial" w:eastAsia="Arial" w:hAnsi="Arial"/>
          <w:b/>
          <w:bCs/>
          <w:color w:val="1a1a1a"/>
          <w:sz w:val="26"/>
          <w:szCs w:val="26"/>
        </w:rPr>
        <w:t xml:space="preserve">Forma general</w:t>
      </w:r>
    </w:p>
    <w:p>
      <w:pPr>
        <w:spacing w:after="120" w:before="120"/>
      </w:pPr>
      <w:r>
        <w:rPr>
          <w:rFonts w:ascii="Arial" w:cs="Arial" w:eastAsia="Arial" w:hAnsi="Arial"/>
          <w:i/>
          <w:iCs/>
          <w:color w:val="333333"/>
          <w:sz w:val="22"/>
          <w:szCs w:val="22"/>
        </w:rPr>
        <w:t xml:space="preserve">[Número] [Autor o Institución], [Título de la sección o documento], [Nombre del documento padre si aplica] ([Ciudad]: [Editorial], [Año]), [página o sección], [URL si está disponible], consultado el [fecha].</w:t>
      </w:r>
    </w:p>
    <w:p>
      <w:pPr>
        <w:pStyle w:val="Heading2"/>
        <w:spacing w:after="180" w:before="360"/>
      </w:pPr>
      <w:r>
        <w:rPr>
          <w:rFonts w:ascii="Arial" w:cs="Arial" w:eastAsia="Arial" w:hAnsi="Arial"/>
          <w:b/>
          <w:bCs/>
          <w:color w:val="1a1a1a"/>
          <w:sz w:val="26"/>
          <w:szCs w:val="26"/>
        </w:rPr>
        <w:t xml:space="preserve">Ejemplo desarrollado</w:t>
      </w:r>
    </w:p>
    <w:p>
      <w:pPr>
        <w:spacing w:after="120" w:before="120"/>
      </w:pPr>
      <w:r>
        <w:rPr>
          <w:rFonts w:ascii="Arial" w:cs="Arial" w:eastAsia="Arial" w:hAnsi="Arial"/>
          <w:i/>
          <w:iCs/>
          <w:color w:val="333333"/>
          <w:sz w:val="22"/>
          <w:szCs w:val="22"/>
        </w:rPr>
        <w:t xml:space="preserve">¹ INEGI, Censo de Población y Vivienda 2020, Datos por municipio, San Luis Potosí (Aguascalientes: INEGI, 2021), https://www.inegi.org.mx/programas/ccpv/2020/, consultado el 30 de mayo de 2026.</w:t>
      </w:r>
    </w:p>
    <w:p>
      <w:r>
        <w:br w:type="page"/>
      </w:r>
    </w:p>
    <w:p>
      <w:pPr>
        <w:pStyle w:val="Heading1"/>
        <w:spacing w:after="240" w:before="480"/>
      </w:pPr>
      <w:r>
        <w:rPr>
          <w:rFonts w:ascii="Arial" w:cs="Arial" w:eastAsia="Arial" w:hAnsi="Arial"/>
          <w:b/>
          <w:bCs/>
          <w:color w:val="1a1a1a"/>
          <w:sz w:val="36"/>
          <w:szCs w:val="36"/>
        </w:rPr>
        <w:t xml:space="preserve">Casos específicos del contexto mexicano</w:t>
      </w:r>
    </w:p>
    <w:p>
      <w:pPr>
        <w:pStyle w:val="Heading2"/>
        <w:spacing w:after="180" w:before="360"/>
      </w:pPr>
      <w:r>
        <w:rPr>
          <w:rFonts w:ascii="Arial" w:cs="Arial" w:eastAsia="Arial" w:hAnsi="Arial"/>
          <w:b/>
          <w:bCs/>
          <w:color w:val="1a1a1a"/>
          <w:sz w:val="26"/>
          <w:szCs w:val="26"/>
        </w:rPr>
        <w:t xml:space="preserve">1. Cita de fuente INEGI</w:t>
      </w:r>
    </w:p>
    <w:p>
      <w:pPr>
        <w:spacing w:after="120" w:before="120"/>
      </w:pPr>
      <w:r>
        <w:rPr>
          <w:rFonts w:ascii="Arial" w:cs="Arial" w:eastAsia="Arial" w:hAnsi="Arial"/>
          <w:i/>
          <w:iCs/>
          <w:color w:val="333333"/>
          <w:sz w:val="22"/>
          <w:szCs w:val="22"/>
        </w:rPr>
        <w:t xml:space="preserve">² INEGI, Censo de Población y Vivienda 2020, Datos por municipio, [MUNICIPIO] (Aguascalientes: INEGI, 2021), https://www.inegi.org.mx/programas/ccpv/2020/, consultado el [FECHA].</w:t>
      </w:r>
    </w:p>
    <w:p>
      <w:pPr>
        <w:pStyle w:val="Heading2"/>
        <w:spacing w:after="180" w:before="360"/>
      </w:pPr>
      <w:r>
        <w:rPr>
          <w:rFonts w:ascii="Arial" w:cs="Arial" w:eastAsia="Arial" w:hAnsi="Arial"/>
          <w:b/>
          <w:bCs/>
          <w:color w:val="1a1a1a"/>
          <w:sz w:val="26"/>
          <w:szCs w:val="26"/>
        </w:rPr>
        <w:t xml:space="preserve">2. Cita de Periódico Oficial estatal</w:t>
      </w:r>
    </w:p>
    <w:p>
      <w:pPr>
        <w:spacing w:after="120" w:before="120"/>
      </w:pPr>
      <w:r>
        <w:rPr>
          <w:rFonts w:ascii="Arial" w:cs="Arial" w:eastAsia="Arial" w:hAnsi="Arial"/>
          <w:i/>
          <w:iCs/>
          <w:color w:val="333333"/>
          <w:sz w:val="22"/>
          <w:szCs w:val="22"/>
        </w:rPr>
        <w:t xml:space="preserve">³ Gobierno del Estado de [ESTADO], Reglamento de Limpia del Municipio de [MUNICIPIO], Periódico Oficial del Estado, Edición Extraordinaria, [FECHA_PUBLICACION], http://[url_periodico_oficial], consultado el [FECHA].</w:t>
      </w:r>
    </w:p>
    <w:p>
      <w:pPr>
        <w:pStyle w:val="Heading2"/>
        <w:spacing w:after="180" w:before="360"/>
      </w:pPr>
      <w:r>
        <w:rPr>
          <w:rFonts w:ascii="Arial" w:cs="Arial" w:eastAsia="Arial" w:hAnsi="Arial"/>
          <w:b/>
          <w:bCs/>
          <w:color w:val="1a1a1a"/>
          <w:sz w:val="26"/>
          <w:szCs w:val="26"/>
        </w:rPr>
        <w:t xml:space="preserve">3. Cita de estándar internacional (GRI)</w:t>
      </w:r>
    </w:p>
    <w:p>
      <w:pPr>
        <w:spacing w:after="120" w:before="120"/>
      </w:pPr>
      <w:r>
        <w:rPr>
          <w:rFonts w:ascii="Arial" w:cs="Arial" w:eastAsia="Arial" w:hAnsi="Arial"/>
          <w:i/>
          <w:iCs/>
          <w:color w:val="333333"/>
          <w:sz w:val="22"/>
          <w:szCs w:val="22"/>
        </w:rPr>
        <w:t xml:space="preserve">⁴ Global Reporting Initiative, GRI 306: Residuos 2020, Estándar de Reporte de Sostenibilidad (Ámsterdam: GRI, 2020), Contenido 306-1, https://www.globalreporting.org/standards/.</w:t>
      </w:r>
    </w:p>
    <w:p>
      <w:pPr>
        <w:pStyle w:val="Heading2"/>
        <w:spacing w:after="180" w:before="360"/>
      </w:pPr>
      <w:r>
        <w:rPr>
          <w:rFonts w:ascii="Arial" w:cs="Arial" w:eastAsia="Arial" w:hAnsi="Arial"/>
          <w:b/>
          <w:bCs/>
          <w:color w:val="1a1a1a"/>
          <w:sz w:val="26"/>
          <w:szCs w:val="26"/>
        </w:rPr>
        <w:t xml:space="preserve">4. Cita de NOM mexicana</w:t>
      </w:r>
    </w:p>
    <w:p>
      <w:pPr>
        <w:spacing w:after="120" w:before="120"/>
      </w:pPr>
      <w:r>
        <w:rPr>
          <w:rFonts w:ascii="Arial" w:cs="Arial" w:eastAsia="Arial" w:hAnsi="Arial"/>
          <w:i/>
          <w:iCs/>
          <w:color w:val="333333"/>
          <w:sz w:val="22"/>
          <w:szCs w:val="22"/>
        </w:rPr>
        <w:t xml:space="preserve">⁵ SEMARNAT, NOM-083-SEMARNAT-2003: Especificaciones de protección ambiental para la selección del sitio, diseño, construcción, operación, monitoreo, clausura y obras complementarias de un sitio de disposición final de residuos sólidos urbanos y de manejo especial (México: Secretaría de Medio Ambiente y Recursos Naturales, 2004).</w:t>
      </w:r>
    </w:p>
    <w:p>
      <w:pPr>
        <w:pStyle w:val="Heading2"/>
        <w:spacing w:after="180" w:before="360"/>
      </w:pPr>
      <w:r>
        <w:rPr>
          <w:rFonts w:ascii="Arial" w:cs="Arial" w:eastAsia="Arial" w:hAnsi="Arial"/>
          <w:b/>
          <w:bCs/>
          <w:color w:val="1a1a1a"/>
          <w:sz w:val="26"/>
          <w:szCs w:val="26"/>
        </w:rPr>
        <w:t xml:space="preserve">5. Cita de NMX mexicana</w:t>
      </w:r>
    </w:p>
    <w:p>
      <w:pPr>
        <w:spacing w:after="120" w:before="120"/>
      </w:pPr>
      <w:r>
        <w:rPr>
          <w:rFonts w:ascii="Arial" w:cs="Arial" w:eastAsia="Arial" w:hAnsi="Arial"/>
          <w:i/>
          <w:iCs/>
          <w:color w:val="333333"/>
          <w:sz w:val="22"/>
          <w:szCs w:val="22"/>
        </w:rPr>
        <w:t xml:space="preserve">⁶ Secretaría de Comercio y Fomento Industrial, NMX-AA-015-1985: Protección al ambiente · Contaminación del suelo · Residuos sólidos municipales · Muestreo · Método de cuarteo (México: SECOFI, 1985).</w:t>
      </w:r>
    </w:p>
    <w:p>
      <w:pPr>
        <w:pStyle w:val="Heading2"/>
        <w:spacing w:after="180" w:before="360"/>
      </w:pPr>
      <w:r>
        <w:rPr>
          <w:rFonts w:ascii="Arial" w:cs="Arial" w:eastAsia="Arial" w:hAnsi="Arial"/>
          <w:b/>
          <w:bCs/>
          <w:color w:val="1a1a1a"/>
          <w:sz w:val="26"/>
          <w:szCs w:val="26"/>
        </w:rPr>
        <w:t xml:space="preserve">6. Cita de cálculo derivado de Alquimia</w:t>
      </w:r>
    </w:p>
    <w:p>
      <w:pPr>
        <w:spacing w:after="120" w:before="120"/>
      </w:pPr>
      <w:r>
        <w:rPr>
          <w:rFonts w:ascii="Arial" w:cs="Arial" w:eastAsia="Arial" w:hAnsi="Arial"/>
          <w:i/>
          <w:iCs/>
          <w:color w:val="333333"/>
          <w:sz w:val="22"/>
          <w:szCs w:val="22"/>
        </w:rPr>
        <w:t xml:space="preserve">⁷ Cifra calculada por la plataforma Alquimia con metodología documentada en alquimiaplatform.com/metodologia, sección 3.2. Fórmula: Población INEGI × generación per cápita Banco Mundial. Fuentes que alimentan el cálculo: ² INEGI Censo 2020 y ⁸ Banco Mundial What a Waste 3.0 (2024).</w:t>
      </w:r>
    </w:p>
    <w:p>
      <w:pPr>
        <w:pStyle w:val="Heading2"/>
        <w:spacing w:after="180" w:before="360"/>
      </w:pPr>
      <w:r>
        <w:rPr>
          <w:rFonts w:ascii="Arial" w:cs="Arial" w:eastAsia="Arial" w:hAnsi="Arial"/>
          <w:b/>
          <w:bCs/>
          <w:color w:val="1a1a1a"/>
          <w:sz w:val="26"/>
          <w:szCs w:val="26"/>
        </w:rPr>
        <w:t xml:space="preserve">7. Cita de documento aportado por el cliente</w:t>
      </w:r>
    </w:p>
    <w:p>
      <w:pPr>
        <w:spacing w:after="120" w:before="120"/>
      </w:pPr>
      <w:r>
        <w:rPr>
          <w:rFonts w:ascii="Arial" w:cs="Arial" w:eastAsia="Arial" w:hAnsi="Arial"/>
          <w:i/>
          <w:iCs/>
          <w:color w:val="333333"/>
          <w:sz w:val="22"/>
          <w:szCs w:val="22"/>
        </w:rPr>
        <w:t xml:space="preserve">⁹ Documento aportado por el cliente [MUNICIPIO] a la plataforma Alquimia el [FECHA_UPLOAD]: [TITULO_DOCUMENTO], [INSTITUCION_EMISORA], [AÑO], [PAGINA_O_SECCION]. Cita literal: [TEXTO_LITERAL_ENTRE_COMILLAS].</w:t>
      </w:r>
    </w:p>
    <w:p>
      <w:r>
        <w:br w:type="page"/>
      </w:r>
    </w:p>
    <w:p>
      <w:pPr>
        <w:pStyle w:val="Heading1"/>
        <w:spacing w:after="240" w:before="480"/>
      </w:pPr>
      <w:r>
        <w:rPr>
          <w:rFonts w:ascii="Arial" w:cs="Arial" w:eastAsia="Arial" w:hAnsi="Arial"/>
          <w:b/>
          <w:bCs/>
          <w:color w:val="1a1a1a"/>
          <w:sz w:val="36"/>
          <w:szCs w:val="36"/>
        </w:rPr>
        <w:t xml:space="preserve">Estructura de la bibliografía al final</w:t>
      </w:r>
    </w:p>
    <w:p>
      <w:pPr>
        <w:pStyle w:val="Heading2"/>
        <w:spacing w:after="180" w:before="360"/>
      </w:pPr>
      <w:r>
        <w:rPr>
          <w:rFonts w:ascii="Arial" w:cs="Arial" w:eastAsia="Arial" w:hAnsi="Arial"/>
          <w:b/>
          <w:bCs/>
          <w:color w:val="1a1a1a"/>
          <w:sz w:val="26"/>
          <w:szCs w:val="26"/>
        </w:rPr>
        <w:t xml:space="preserve">Diferencia entre nota al pie y bibliografía</w:t>
      </w:r>
    </w:p>
    <w:p>
      <w:pPr>
        <w:spacing w:after="120" w:before="120"/>
      </w:pPr>
      <w:r>
        <w:rPr>
          <w:rFonts w:ascii="Arial" w:cs="Arial" w:eastAsia="Arial" w:hAnsi="Arial"/>
          <w:color w:val="333333"/>
          <w:sz w:val="22"/>
          <w:szCs w:val="22"/>
        </w:rPr>
        <w:t xml:space="preserve">La nota al pie cita la primera mención del dato con detalle completo. Si el mismo documento se cita varias veces en el cuerpo, las siguientes notas pueden ser abreviadas. La bibliografía final, en cambio, compila cada fuente única usada en el documento con su forma completa, ordenada alfabéticamente por institución emisora.</w:t>
      </w:r>
    </w:p>
    <w:p>
      <w:pPr>
        <w:pStyle w:val="Heading2"/>
        <w:spacing w:after="180" w:before="360"/>
      </w:pPr>
      <w:r>
        <w:rPr>
          <w:rFonts w:ascii="Arial" w:cs="Arial" w:eastAsia="Arial" w:hAnsi="Arial"/>
          <w:b/>
          <w:bCs/>
          <w:color w:val="1a1a1a"/>
          <w:sz w:val="26"/>
          <w:szCs w:val="26"/>
        </w:rPr>
        <w:t xml:space="preserve">Forma de la entrada en bibliografía</w:t>
      </w:r>
    </w:p>
    <w:p>
      <w:pPr>
        <w:spacing w:after="120" w:before="120"/>
      </w:pPr>
      <w:r>
        <w:rPr>
          <w:rFonts w:ascii="Arial" w:cs="Arial" w:eastAsia="Arial" w:hAnsi="Arial"/>
          <w:i/>
          <w:iCs/>
          <w:color w:val="333333"/>
          <w:sz w:val="22"/>
          <w:szCs w:val="22"/>
        </w:rPr>
        <w:t xml:space="preserve">[Autor o Institución]. [Título de la sección o documento]. [Nombre del documento padre si aplica]. [Ciudad]: [Editorial], [Año]. [URL si está disponible].</w:t>
      </w:r>
    </w:p>
    <w:p>
      <w:pPr>
        <w:pStyle w:val="Heading2"/>
        <w:spacing w:after="180" w:before="360"/>
      </w:pPr>
      <w:r>
        <w:rPr>
          <w:rFonts w:ascii="Arial" w:cs="Arial" w:eastAsia="Arial" w:hAnsi="Arial"/>
          <w:b/>
          <w:bCs/>
          <w:color w:val="1a1a1a"/>
          <w:sz w:val="26"/>
          <w:szCs w:val="26"/>
        </w:rPr>
        <w:t xml:space="preserve">Ejemplo desarrollado</w:t>
      </w:r>
    </w:p>
    <w:p>
      <w:pPr>
        <w:spacing w:after="120" w:before="120"/>
      </w:pPr>
      <w:r>
        <w:rPr>
          <w:rFonts w:ascii="Arial" w:cs="Arial" w:eastAsia="Arial" w:hAnsi="Arial"/>
          <w:i/>
          <w:iCs/>
          <w:color w:val="333333"/>
          <w:sz w:val="22"/>
          <w:szCs w:val="22"/>
        </w:rPr>
        <w:t xml:space="preserve">INEGI. Censo de Población y Vivienda 2020: Datos por municipio. Aguascalientes: Instituto Nacional de Estadística y Geografía, 2021. https://www.inegi.org.mx/programas/ccpv/2020/.</w:t>
      </w:r>
    </w:p>
    <w:p>
      <w:r>
        <w:br w:type="page"/>
      </w:r>
    </w:p>
    <w:p>
      <w:pPr>
        <w:pStyle w:val="Heading1"/>
        <w:spacing w:after="240" w:before="480"/>
      </w:pPr>
      <w:r>
        <w:rPr>
          <w:rFonts w:ascii="Arial" w:cs="Arial" w:eastAsia="Arial" w:hAnsi="Arial"/>
          <w:b/>
          <w:bCs/>
          <w:color w:val="1a1a1a"/>
          <w:sz w:val="36"/>
          <w:szCs w:val="36"/>
        </w:rPr>
        <w:t xml:space="preserve">Bibliografía universal de referencia</w:t>
      </w:r>
    </w:p>
    <w:p>
      <w:pPr>
        <w:spacing w:after="120" w:before="120"/>
      </w:pPr>
      <w:r>
        <w:rPr>
          <w:rFonts w:ascii="Arial" w:cs="Arial" w:eastAsia="Arial" w:hAnsi="Arial"/>
          <w:i/>
          <w:iCs/>
          <w:color w:val="555555"/>
          <w:sz w:val="22"/>
          <w:szCs w:val="22"/>
        </w:rPr>
        <w:t xml:space="preserve">Las siguientes son las fuentes universales más utilizadas por la plataforma Alquimia. Se incluyen aquí como referencia rápida con su forma de cita correcta.</w:t>
      </w:r>
    </w:p>
    <w:p>
      <w:pPr>
        <w:spacing w:before="360"/>
      </w:pPr>
    </w:p>
    <w:p>
      <w:pPr>
        <w:pStyle w:val="Heading2"/>
        <w:spacing w:after="180" w:before="360"/>
      </w:pPr>
      <w:r>
        <w:rPr>
          <w:rFonts w:ascii="Arial" w:cs="Arial" w:eastAsia="Arial" w:hAnsi="Arial"/>
          <w:b/>
          <w:bCs/>
          <w:color w:val="1a1a1a"/>
          <w:sz w:val="26"/>
          <w:szCs w:val="26"/>
        </w:rPr>
        <w:t xml:space="preserve">Marco legal federal mexicano</w:t>
      </w:r>
    </w:p>
    <w:p>
      <w:pPr>
        <w:spacing w:after="120" w:before="120"/>
      </w:pPr>
      <w:r>
        <w:rPr>
          <w:rFonts w:ascii="Arial" w:cs="Arial" w:eastAsia="Arial" w:hAnsi="Arial"/>
          <w:color w:val="333333"/>
          <w:sz w:val="22"/>
          <w:szCs w:val="22"/>
        </w:rPr>
        <w:t xml:space="preserve">Diario Oficial de la Federación. Constitución Política de los Estados Unidos Mexicanos. México: Cámara de Diputados, última reforma vigente.</w:t>
      </w:r>
    </w:p>
    <w:p>
      <w:pPr>
        <w:spacing w:after="120" w:before="120"/>
      </w:pPr>
      <w:r>
        <w:rPr>
          <w:rFonts w:ascii="Arial" w:cs="Arial" w:eastAsia="Arial" w:hAnsi="Arial"/>
          <w:color w:val="333333"/>
          <w:sz w:val="22"/>
          <w:szCs w:val="22"/>
        </w:rPr>
        <w:t xml:space="preserve">Diario Oficial de la Federación. Ley General para la Prevención y Gestión Integral de los Residuos (LGPGIR). México: Cámara de Diputados, última reforma vigente.</w:t>
      </w:r>
    </w:p>
    <w:p>
      <w:pPr>
        <w:spacing w:after="120" w:before="120"/>
      </w:pPr>
      <w:r>
        <w:rPr>
          <w:rFonts w:ascii="Arial" w:cs="Arial" w:eastAsia="Arial" w:hAnsi="Arial"/>
          <w:color w:val="333333"/>
          <w:sz w:val="22"/>
          <w:szCs w:val="22"/>
        </w:rPr>
        <w:t xml:space="preserve">Diario Oficial de la Federación. Ley Federal de Protección de Datos Personales en Posesión de los Particulares (LFPDPPP). México: Cámara de Diputados, última reforma vigente.</w:t>
      </w:r>
    </w:p>
    <w:p>
      <w:pPr>
        <w:spacing w:before="360"/>
      </w:pPr>
    </w:p>
    <w:p>
      <w:pPr>
        <w:pStyle w:val="Heading2"/>
        <w:spacing w:after="180" w:before="360"/>
      </w:pPr>
      <w:r>
        <w:rPr>
          <w:rFonts w:ascii="Arial" w:cs="Arial" w:eastAsia="Arial" w:hAnsi="Arial"/>
          <w:b/>
          <w:bCs/>
          <w:color w:val="1a1a1a"/>
          <w:sz w:val="26"/>
          <w:szCs w:val="26"/>
        </w:rPr>
        <w:t xml:space="preserve">Datos demográficos y económicos</w:t>
      </w:r>
    </w:p>
    <w:p>
      <w:pPr>
        <w:spacing w:after="120" w:before="120"/>
      </w:pPr>
      <w:r>
        <w:rPr>
          <w:rFonts w:ascii="Arial" w:cs="Arial" w:eastAsia="Arial" w:hAnsi="Arial"/>
          <w:color w:val="333333"/>
          <w:sz w:val="22"/>
          <w:szCs w:val="22"/>
        </w:rPr>
        <w:t xml:space="preserve">INEGI. Censo de Población y Vivienda 2020. Aguascalientes: Instituto Nacional de Estadística y Geografía, 2021. https://www.inegi.org.mx/programas/ccpv/2020/.</w:t>
      </w:r>
    </w:p>
    <w:p>
      <w:pPr>
        <w:spacing w:after="120" w:before="120"/>
      </w:pPr>
      <w:r>
        <w:rPr>
          <w:rFonts w:ascii="Arial" w:cs="Arial" w:eastAsia="Arial" w:hAnsi="Arial"/>
          <w:color w:val="333333"/>
          <w:sz w:val="22"/>
          <w:szCs w:val="22"/>
        </w:rPr>
        <w:t xml:space="preserve">INEGI. Marco Geoestadístico Nacional. Aguascalientes: INEGI, versión vigente. https://www.inegi.org.mx/temas/mg/.</w:t>
      </w:r>
    </w:p>
    <w:p>
      <w:pPr>
        <w:spacing w:after="120" w:before="120"/>
      </w:pPr>
      <w:r>
        <w:rPr>
          <w:rFonts w:ascii="Arial" w:cs="Arial" w:eastAsia="Arial" w:hAnsi="Arial"/>
          <w:color w:val="333333"/>
          <w:sz w:val="22"/>
          <w:szCs w:val="22"/>
        </w:rPr>
        <w:t xml:space="preserve">INEGI. Directorio Estadístico Nacional de Unidades Económicas (DENUE). Aguascalientes: INEGI, actualización trimestral. https://www.inegi.org.mx/app/mapa/denue/.</w:t>
      </w:r>
    </w:p>
    <w:p>
      <w:pPr>
        <w:spacing w:after="120" w:before="120"/>
      </w:pPr>
      <w:r>
        <w:rPr>
          <w:rFonts w:ascii="Arial" w:cs="Arial" w:eastAsia="Arial" w:hAnsi="Arial"/>
          <w:color w:val="333333"/>
          <w:sz w:val="22"/>
          <w:szCs w:val="22"/>
        </w:rPr>
        <w:t xml:space="preserve">CONAPO. Proyecciones de la Población de México y de las Entidades Federativas, 2020-2070. Ciudad de México: Consejo Nacional de Población, 2023.</w:t>
      </w:r>
    </w:p>
    <w:p>
      <w:pPr>
        <w:spacing w:before="360"/>
      </w:pPr>
    </w:p>
    <w:p>
      <w:pPr>
        <w:pStyle w:val="Heading2"/>
        <w:spacing w:after="180" w:before="360"/>
      </w:pPr>
      <w:r>
        <w:rPr>
          <w:rFonts w:ascii="Arial" w:cs="Arial" w:eastAsia="Arial" w:hAnsi="Arial"/>
          <w:b/>
          <w:bCs/>
          <w:color w:val="1a1a1a"/>
          <w:sz w:val="26"/>
          <w:szCs w:val="26"/>
        </w:rPr>
        <w:t xml:space="preserve">Normativa ambiental</w:t>
      </w:r>
    </w:p>
    <w:p>
      <w:pPr>
        <w:spacing w:after="120" w:before="120"/>
      </w:pPr>
      <w:r>
        <w:rPr>
          <w:rFonts w:ascii="Arial" w:cs="Arial" w:eastAsia="Arial" w:hAnsi="Arial"/>
          <w:color w:val="333333"/>
          <w:sz w:val="22"/>
          <w:szCs w:val="22"/>
        </w:rPr>
        <w:t xml:space="preserve">SEMARNAT. NOM-083-SEMARNAT-2003: Sitios de disposición final de residuos sólidos urbanos. México: Secretaría de Medio Ambiente y Recursos Naturales, 2004.</w:t>
      </w:r>
    </w:p>
    <w:p>
      <w:pPr>
        <w:spacing w:after="120" w:before="120"/>
      </w:pPr>
      <w:r>
        <w:rPr>
          <w:rFonts w:ascii="Arial" w:cs="Arial" w:eastAsia="Arial" w:hAnsi="Arial"/>
          <w:color w:val="333333"/>
          <w:sz w:val="22"/>
          <w:szCs w:val="22"/>
        </w:rPr>
        <w:t xml:space="preserve">SEMARNAT. NOM-161-SEMARNAT-2011: Residuos de manejo especial. México: SEMARNAT, 2013.</w:t>
      </w:r>
    </w:p>
    <w:p>
      <w:pPr>
        <w:spacing w:after="120" w:before="120"/>
      </w:pPr>
      <w:r>
        <w:rPr>
          <w:rFonts w:ascii="Arial" w:cs="Arial" w:eastAsia="Arial" w:hAnsi="Arial"/>
          <w:color w:val="333333"/>
          <w:sz w:val="22"/>
          <w:szCs w:val="22"/>
        </w:rPr>
        <w:t xml:space="preserve">Secretaría de Comercio y Fomento Industrial. NMX-AA-015-1985: Cuarteo de residuos sólidos municipales. México: SECOFI, 1985.</w:t>
      </w:r>
    </w:p>
    <w:p>
      <w:pPr>
        <w:spacing w:after="120" w:before="120"/>
      </w:pPr>
      <w:r>
        <w:rPr>
          <w:rFonts w:ascii="Arial" w:cs="Arial" w:eastAsia="Arial" w:hAnsi="Arial"/>
          <w:color w:val="333333"/>
          <w:sz w:val="22"/>
          <w:szCs w:val="22"/>
        </w:rPr>
        <w:t xml:space="preserve">Secretaría de Comercio y Fomento Industrial. NMX-AA-019-1985: Peso volumétrico in situ de residuos sólidos municipales. México: SECOFI, 1985.</w:t>
      </w:r>
    </w:p>
    <w:p>
      <w:pPr>
        <w:spacing w:after="120" w:before="120"/>
      </w:pPr>
      <w:r>
        <w:rPr>
          <w:rFonts w:ascii="Arial" w:cs="Arial" w:eastAsia="Arial" w:hAnsi="Arial"/>
          <w:color w:val="333333"/>
          <w:sz w:val="22"/>
          <w:szCs w:val="22"/>
        </w:rPr>
        <w:t xml:space="preserve">Secretaría de Comercio y Fomento Industrial. NMX-AA-022-1985: Selección y cuantificación de subproductos de residuos sólidos municipales. México: SECOFI, 1985.</w:t>
      </w:r>
    </w:p>
    <w:p>
      <w:pPr>
        <w:spacing w:before="360"/>
      </w:pPr>
    </w:p>
    <w:p>
      <w:pPr>
        <w:pStyle w:val="Heading2"/>
        <w:spacing w:after="180" w:before="360"/>
      </w:pPr>
      <w:r>
        <w:rPr>
          <w:rFonts w:ascii="Arial" w:cs="Arial" w:eastAsia="Arial" w:hAnsi="Arial"/>
          <w:b/>
          <w:bCs/>
          <w:color w:val="1a1a1a"/>
          <w:sz w:val="26"/>
          <w:szCs w:val="26"/>
        </w:rPr>
        <w:t xml:space="preserve">Estándares internacionales</w:t>
      </w:r>
    </w:p>
    <w:p>
      <w:pPr>
        <w:spacing w:after="120" w:before="120"/>
      </w:pPr>
      <w:r>
        <w:rPr>
          <w:rFonts w:ascii="Arial" w:cs="Arial" w:eastAsia="Arial" w:hAnsi="Arial"/>
          <w:color w:val="333333"/>
          <w:sz w:val="22"/>
          <w:szCs w:val="22"/>
        </w:rPr>
        <w:t xml:space="preserve">Global Reporting Initiative. GRI 1: Fundamentos 2021. Ámsterdam: GRI, 2021.</w:t>
      </w:r>
    </w:p>
    <w:p>
      <w:pPr>
        <w:spacing w:after="120" w:before="120"/>
      </w:pPr>
      <w:r>
        <w:rPr>
          <w:rFonts w:ascii="Arial" w:cs="Arial" w:eastAsia="Arial" w:hAnsi="Arial"/>
          <w:color w:val="333333"/>
          <w:sz w:val="22"/>
          <w:szCs w:val="22"/>
        </w:rPr>
        <w:t xml:space="preserve">Global Reporting Initiative. GRI 2: Contenidos Generales 2021. Ámsterdam: GRI, 2021.</w:t>
      </w:r>
    </w:p>
    <w:p>
      <w:pPr>
        <w:spacing w:after="120" w:before="120"/>
      </w:pPr>
      <w:r>
        <w:rPr>
          <w:rFonts w:ascii="Arial" w:cs="Arial" w:eastAsia="Arial" w:hAnsi="Arial"/>
          <w:color w:val="333333"/>
          <w:sz w:val="22"/>
          <w:szCs w:val="22"/>
        </w:rPr>
        <w:t xml:space="preserve">Global Reporting Initiative. GRI 3: Temas Materiales 2021. Ámsterdam: GRI, 2021.</w:t>
      </w:r>
    </w:p>
    <w:p>
      <w:pPr>
        <w:spacing w:after="120" w:before="120"/>
      </w:pPr>
      <w:r>
        <w:rPr>
          <w:rFonts w:ascii="Arial" w:cs="Arial" w:eastAsia="Arial" w:hAnsi="Arial"/>
          <w:color w:val="333333"/>
          <w:sz w:val="22"/>
          <w:szCs w:val="22"/>
        </w:rPr>
        <w:t xml:space="preserve">Global Reporting Initiative. GRI 306: Residuos 2020. Ámsterdam: GRI, 2020.</w:t>
      </w:r>
    </w:p>
    <w:p>
      <w:pPr>
        <w:spacing w:after="120" w:before="120"/>
      </w:pPr>
      <w:r>
        <w:rPr>
          <w:rFonts w:ascii="Arial" w:cs="Arial" w:eastAsia="Arial" w:hAnsi="Arial"/>
          <w:color w:val="333333"/>
          <w:sz w:val="22"/>
          <w:szCs w:val="22"/>
        </w:rPr>
        <w:t xml:space="preserve">ISO. ISO 14001:2015 Sistemas de gestión ambiental. Ginebra: International Organization for Standardization, 2015.</w:t>
      </w:r>
    </w:p>
    <w:p>
      <w:pPr>
        <w:spacing w:after="120" w:before="120"/>
      </w:pPr>
      <w:r>
        <w:rPr>
          <w:rFonts w:ascii="Arial" w:cs="Arial" w:eastAsia="Arial" w:hAnsi="Arial"/>
          <w:color w:val="333333"/>
          <w:sz w:val="22"/>
          <w:szCs w:val="22"/>
        </w:rPr>
        <w:t xml:space="preserve">ISO. ISO 31000:2018 Gestión del riesgo - Directrices. Ginebra: ISO, 2018.</w:t>
      </w:r>
    </w:p>
    <w:p>
      <w:pPr>
        <w:spacing w:after="120" w:before="120"/>
      </w:pPr>
      <w:r>
        <w:rPr>
          <w:rFonts w:ascii="Arial" w:cs="Arial" w:eastAsia="Arial" w:hAnsi="Arial"/>
          <w:color w:val="333333"/>
          <w:sz w:val="22"/>
          <w:szCs w:val="22"/>
        </w:rPr>
        <w:t xml:space="preserve">Project Management Institute. PMBOK Guide - Séptima edición. Newtown Square: PMI, 2021.</w:t>
      </w:r>
    </w:p>
    <w:p>
      <w:pPr>
        <w:spacing w:after="120" w:before="120"/>
      </w:pPr>
      <w:r>
        <w:rPr>
          <w:rFonts w:ascii="Arial" w:cs="Arial" w:eastAsia="Arial" w:hAnsi="Arial"/>
          <w:color w:val="333333"/>
          <w:sz w:val="22"/>
          <w:szCs w:val="22"/>
        </w:rPr>
        <w:t xml:space="preserve">Intergovernmental Panel on Climate Change. Sixth Assessment Report (AR6): Climate Change 2021. Geneva: IPCC, 2021.</w:t>
      </w:r>
    </w:p>
    <w:p>
      <w:pPr>
        <w:spacing w:after="120" w:before="120"/>
      </w:pPr>
      <w:r>
        <w:rPr>
          <w:rFonts w:ascii="Arial" w:cs="Arial" w:eastAsia="Arial" w:hAnsi="Arial"/>
          <w:color w:val="333333"/>
          <w:sz w:val="22"/>
          <w:szCs w:val="22"/>
        </w:rPr>
        <w:t xml:space="preserve">Banco Mundial. What a Waste 3.0: A Global Snapshot of Solid Waste Management to 2050. Washington D.C.: World Bank Publications, 2024.</w:t>
      </w:r>
    </w:p>
    <w:p>
      <w:pPr>
        <w:spacing w:before="360"/>
      </w:pPr>
    </w:p>
    <w:p>
      <w:pPr>
        <w:pStyle w:val="Heading2"/>
        <w:spacing w:after="180" w:before="360"/>
      </w:pPr>
      <w:r>
        <w:rPr>
          <w:rFonts w:ascii="Arial" w:cs="Arial" w:eastAsia="Arial" w:hAnsi="Arial"/>
          <w:b/>
          <w:bCs/>
          <w:color w:val="1a1a1a"/>
          <w:sz w:val="26"/>
          <w:szCs w:val="26"/>
        </w:rPr>
        <w:t xml:space="preserve">Banca de desarrollo y financiamiento</w:t>
      </w:r>
    </w:p>
    <w:p>
      <w:pPr>
        <w:spacing w:after="120" w:before="120"/>
      </w:pPr>
      <w:r>
        <w:rPr>
          <w:rFonts w:ascii="Arial" w:cs="Arial" w:eastAsia="Arial" w:hAnsi="Arial"/>
          <w:color w:val="333333"/>
          <w:sz w:val="22"/>
          <w:szCs w:val="22"/>
        </w:rPr>
        <w:t xml:space="preserve">Secretaría de Hacienda y Crédito Público. Lineamientos para Evaluación Socioeconómica de Proyectos. Ciudad de México: SHCP, vigente.</w:t>
      </w:r>
    </w:p>
    <w:p>
      <w:pPr>
        <w:spacing w:after="120" w:before="120"/>
      </w:pPr>
      <w:r>
        <w:rPr>
          <w:rFonts w:ascii="Arial" w:cs="Arial" w:eastAsia="Arial" w:hAnsi="Arial"/>
          <w:color w:val="333333"/>
          <w:sz w:val="22"/>
          <w:szCs w:val="22"/>
        </w:rPr>
        <w:t xml:space="preserve">Nacional Financiera. Lineamientos de Crédito Verde Sustentable. Ciudad de México: NAFIN, vigente.</w:t>
      </w:r>
    </w:p>
    <w:p>
      <w:pPr>
        <w:spacing w:after="120" w:before="120"/>
      </w:pPr>
      <w:r>
        <w:rPr>
          <w:rFonts w:ascii="Arial" w:cs="Arial" w:eastAsia="Arial" w:hAnsi="Arial"/>
          <w:color w:val="333333"/>
          <w:sz w:val="22"/>
          <w:szCs w:val="22"/>
        </w:rPr>
        <w:t xml:space="preserve">Banco Nacional de Obras y Servicios Públicos. Programa de Financiamiento Sustentable para Estados y Municipios. Ciudad de México: BANOBRAS, vigente.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2"/>
        <w:szCs w:val="12"/>
      </w:rPr>
      <w:t xml:space="preserve">Documento Alquimia · [FECHA]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color w:val="888888"/>
        <w:sz w:val="14"/>
        <w:szCs w:val="14"/>
      </w:rPr>
      <w:t xml:space="preserve">ALQUIMIA · Formato de Citación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Bibliografía Formato Alquimia</dc:title>
  <dc:creator>Alquimia Platform</dc:creator>
  <cp:lastModifiedBy>Un-named</cp:lastModifiedBy>
  <cp:revision>1</cp:revision>
  <dcterms:created xsi:type="dcterms:W3CDTF">2026-06-02T18:23:12.371Z</dcterms:created>
  <dcterms:modified xsi:type="dcterms:W3CDTF">2026-06-02T18:23:12.372Z</dcterms:modified>
</cp:coreProperties>
</file>

<file path=docProps/custom.xml><?xml version="1.0" encoding="utf-8"?>
<Properties xmlns="http://schemas.openxmlformats.org/officeDocument/2006/custom-properties" xmlns:vt="http://schemas.openxmlformats.org/officeDocument/2006/docPropsVTypes"/>
</file>