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pPr>
      <w:r>
        <w:rPr>
          <w:rFonts w:ascii="Arial" w:cs="Arial" w:eastAsia="Arial" w:hAnsi="Arial"/>
          <w:b/>
          <w:bCs/>
          <w:color w:val="1a1a1a"/>
          <w:sz w:val="36"/>
          <w:szCs w:val="36"/>
        </w:rPr>
        <w:t xml:space="preserve">ALQUIMIA</w:t>
      </w:r>
    </w:p>
    <w:p>
      <w:pPr>
        <w:spacing w:before="30"/>
      </w:pPr>
      <w:r>
        <w:rPr>
          <w:rFonts w:ascii="Arial" w:cs="Arial" w:eastAsia="Arial" w:hAnsi="Arial"/>
          <w:b/>
          <w:bCs/>
          <w:color w:val="666666"/>
          <w:sz w:val="20"/>
          <w:szCs w:val="20"/>
        </w:rPr>
        <w:t xml:space="preserve">RESUMEN EJECUTIVO</w:t>
      </w:r>
    </w:p>
    <w:p>
      <w:pPr>
        <w:spacing w:before="30"/>
      </w:pPr>
      <w:r>
        <w:rPr>
          <w:rFonts w:ascii="Arial" w:cs="Arial" w:eastAsia="Arial" w:hAnsi="Arial"/>
          <w:i/>
          <w:iCs/>
          <w:color w:val="333333"/>
          <w:sz w:val="22"/>
          <w:szCs w:val="22"/>
        </w:rPr>
        <w:t xml:space="preserve">Programa Municipal de Gestión Integral de Residuos Sólidos</w:t>
      </w:r>
    </w:p>
    <w:p>
      <w:pPr>
        <w:spacing w:before="30"/>
      </w:pPr>
      <w:r>
        <w:rPr>
          <w:rFonts w:ascii="Arial" w:cs="Arial" w:eastAsia="Arial" w:hAnsi="Arial"/>
          <w:color w:val="888888"/>
          <w:sz w:val="16"/>
          <w:szCs w:val="16"/>
        </w:rPr>
        <w:t xml:space="preserve">[MUNICIPIO], [ESTADO] · Administración [PERIODO] · Versión [VERSION] · [FECHA]</w:t>
      </w:r>
    </w:p>
    <w:p>
      <w:pPr>
        <w:pBdr>
          <w:bottom w:val="single" w:color="1a1a1a" w:sz="12" w:space="1"/>
        </w:pBdr>
        <w:spacing w:before="360"/>
      </w:pPr>
      <w:r>
        <w:t xml:space="preserve"/>
      </w:r>
    </w:p>
    <w:p>
      <w:pPr>
        <w:spacing w:before="480"/>
      </w:pPr>
      <w:r>
        <w:rPr>
          <w:rFonts w:ascii="Arial" w:cs="Arial" w:eastAsia="Arial" w:hAnsi="Arial"/>
          <w:b/>
          <w:bCs/>
          <w:color w:val="888888"/>
          <w:sz w:val="14"/>
          <w:szCs w:val="14"/>
        </w:rPr>
        <w:t xml:space="preserve">LA PREGUNTA</w:t>
      </w:r>
    </w:p>
    <w:p>
      <w:pPr>
        <w:spacing w:before="120"/>
      </w:pPr>
      <w:r>
        <w:rPr>
          <w:rFonts w:ascii="Arial" w:cs="Arial" w:eastAsia="Arial" w:hAnsi="Arial"/>
          <w:i/>
          <w:iCs/>
          <w:color w:val="1a1a1a"/>
          <w:sz w:val="26"/>
          <w:szCs w:val="26"/>
        </w:rPr>
        <w:t xml:space="preserve">¿Cómo puede [MUNICIPIO] convertir la gestión de residuos sólidos en una herramienta de transformación institucional durante la administración [PERIODO]?</w:t>
      </w:r>
    </w:p>
    <w:p>
      <w:pPr>
        <w:spacing w:before="480"/>
      </w:pPr>
      <w:r>
        <w:rPr>
          <w:rFonts w:ascii="Arial" w:cs="Arial" w:eastAsia="Arial" w:hAnsi="Arial"/>
          <w:b/>
          <w:bCs/>
          <w:color w:val="888888"/>
          <w:sz w:val="14"/>
          <w:szCs w:val="14"/>
        </w:rPr>
        <w:t xml:space="preserve">LA RESPUESTA</w:t>
      </w:r>
    </w:p>
    <w:p>
      <w:pPr>
        <w:spacing w:before="120"/>
      </w:pPr>
      <w:r>
        <w:rPr>
          <w:rFonts w:ascii="Arial" w:cs="Arial" w:eastAsia="Arial" w:hAnsi="Arial"/>
          <w:color w:val="1a1a1a"/>
          <w:sz w:val="24"/>
          <w:szCs w:val="24"/>
        </w:rPr>
        <w:t xml:space="preserve">Mediante un programa de circularidad institucional aterrizado en tres componentes: reforma reglamentaria que cierra brechas frente a la LGPGIR, operación piloto con metodología NMX-AA-015 y monitoreo GRI 306, estructura financiera con TIR positiva en los tres escenarios analizados.</w:t>
      </w:r>
    </w:p>
    <w:p>
      <w:pPr>
        <w:spacing w:before="120"/>
      </w:pPr>
      <w:r>
        <w:rPr>
          <w:rFonts w:ascii="Arial" w:cs="Arial" w:eastAsia="Arial" w:hAnsi="Arial"/>
          <w:b/>
          <w:bCs/>
          <w:color w:val="1a1a1a"/>
          <w:sz w:val="24"/>
          <w:szCs w:val="24"/>
        </w:rPr>
        <w:t xml:space="preserve">Cuña inicial en vivienda en condominio. Escala progresiva a otros generadores.</w:t>
      </w:r>
    </w:p>
    <w:p>
      <w:r>
        <w:br w:type="page"/>
      </w:r>
    </w:p>
    <w:p>
      <w:pPr>
        <w:spacing w:before="240"/>
      </w:pPr>
      <w:r>
        <w:rPr>
          <w:rFonts w:ascii="Arial" w:cs="Arial" w:eastAsia="Arial" w:hAnsi="Arial"/>
          <w:b/>
          <w:bCs/>
          <w:color w:val="888888"/>
          <w:sz w:val="14"/>
          <w:szCs w:val="14"/>
        </w:rPr>
        <w:t xml:space="preserve">LAS TRES RAZONES PARA ACTUAR AHORA</w:t>
      </w:r>
    </w:p>
    <w:p>
      <w:pPr>
        <w:spacing w:before="360"/>
      </w:pPr>
      <w:r>
        <w:rPr>
          <w:rFonts w:ascii="Arial" w:cs="Arial" w:eastAsia="Arial" w:hAnsi="Arial"/>
          <w:b/>
          <w:bCs/>
          <w:color w:val="1a1a1a"/>
          <w:sz w:val="22"/>
          <w:szCs w:val="22"/>
        </w:rPr>
        <w:t xml:space="preserve">PRIMERO. El costo de no actuar es cuantificable y creciente.</w:t>
      </w:r>
    </w:p>
    <w:p>
      <w:pPr>
        <w:spacing w:before="120"/>
      </w:pPr>
      <w:r>
        <w:rPr>
          <w:rFonts w:ascii="Arial" w:cs="Arial" w:eastAsia="Arial" w:hAnsi="Arial"/>
          <w:color w:val="333333"/>
          <w:sz w:val="20"/>
          <w:szCs w:val="20"/>
        </w:rPr>
        <w:t xml:space="preserve">El costo anual del servicio actual asciende a [COSTO_OPERATIVO_ANUAL] pesos. Sin intervención, este costo crece año tras año por crecimiento poblacional (proyecciones CONAPO) e inflación (INEGI). A esto se suman externalidades cuantificables: emisiones de metano del sitio (factores IPCC AR6), costo de oportunidad de materiales valorizables, y posible remediación ambiental futura.</w:t>
      </w:r>
    </w:p>
    <w:p>
      <w:pPr>
        <w:spacing w:before="120"/>
      </w:pPr>
      <w:r>
        <w:rPr>
          <w:rFonts w:ascii="Arial" w:cs="Arial" w:eastAsia="Arial" w:hAnsi="Arial"/>
          <w:b/>
          <w:bCs/>
          <w:color w:val="1a1a1a"/>
          <w:sz w:val="20"/>
          <w:szCs w:val="20"/>
        </w:rPr>
        <w:t xml:space="preserve">Acumulado a 10 años, el costo de no actuar suma [COSTO_10_ANOS] pesos. El ahorro neto del programa propuesto, comparativamente, es de [AHORRO_NETO] pesos.</w:t>
      </w:r>
    </w:p>
    <w:p>
      <w:pPr>
        <w:spacing w:before="360"/>
      </w:pPr>
      <w:r>
        <w:rPr>
          <w:rFonts w:ascii="Arial" w:cs="Arial" w:eastAsia="Arial" w:hAnsi="Arial"/>
          <w:b/>
          <w:bCs/>
          <w:color w:val="1a1a1a"/>
          <w:sz w:val="22"/>
          <w:szCs w:val="22"/>
        </w:rPr>
        <w:t xml:space="preserve">SEGUNDO. El marco normativo vigente tiene brechas específicas.</w:t>
      </w:r>
    </w:p>
    <w:p>
      <w:pPr>
        <w:spacing w:before="120"/>
      </w:pPr>
      <w:r>
        <w:rPr>
          <w:rFonts w:ascii="Arial" w:cs="Arial" w:eastAsia="Arial" w:hAnsi="Arial"/>
          <w:color w:val="333333"/>
          <w:sz w:val="20"/>
          <w:szCs w:val="20"/>
        </w:rPr>
        <w:t xml:space="preserve">El Reglamento de Limpia de [MUNICIPIO], publicado el [FECHA_REGLAMENTO_VIGENTE], no contempla mecanismos específicos para cumplir con las obligaciones que establece la LGPGIR en sus artículos 18 y 26. Se proponen tres adendos reglamentarios con justificación técnica artículo por artículo: separación en origen obligatoria, sanciones por incumplimiento, e incentivos por cumplimiento. El detalle se desarrolla en el expediente completo, sección 6.</w:t>
      </w:r>
    </w:p>
    <w:p>
      <w:pPr>
        <w:spacing w:before="360"/>
      </w:pPr>
      <w:r>
        <w:rPr>
          <w:rFonts w:ascii="Arial" w:cs="Arial" w:eastAsia="Arial" w:hAnsi="Arial"/>
          <w:b/>
          <w:bCs/>
          <w:color w:val="1a1a1a"/>
          <w:sz w:val="22"/>
          <w:szCs w:val="22"/>
        </w:rPr>
        <w:t xml:space="preserve">TERCERO. Los escenarios financieros son sostenibles.</w:t>
      </w:r>
    </w:p>
    <w:p>
      <w:pPr>
        <w:spacing w:before="120"/>
      </w:pPr>
      <w:r>
        <w:rPr>
          <w:rFonts w:ascii="Arial" w:cs="Arial" w:eastAsia="Arial" w:hAnsi="Arial"/>
          <w:color w:val="333333"/>
          <w:sz w:val="20"/>
          <w:szCs w:val="20"/>
        </w:rPr>
        <w:t xml:space="preserve">Los tres escenarios analizados (Ambicioso, Moderado, Conservador) presentan TIR positiva y superior a la tasa de descuento SHCP. VPN positivo en los tres casos. Aun en el escenario más conservador, el programa es financieramente viable bajo parámetros de banca de desarrollo. Las cifras detalladas con sus fórmulas y supuestos se presentan en la sección 8 del expediente.</w:t>
      </w:r>
    </w:p>
    <w:p>
      <w:r>
        <w:br w:type="page"/>
      </w:r>
    </w:p>
    <w:p>
      <w:pPr>
        <w:spacing w:before="240"/>
      </w:pPr>
      <w:r>
        <w:rPr>
          <w:rFonts w:ascii="Arial" w:cs="Arial" w:eastAsia="Arial" w:hAnsi="Arial"/>
          <w:b/>
          <w:bCs/>
          <w:color w:val="888888"/>
          <w:sz w:val="14"/>
          <w:szCs w:val="14"/>
        </w:rPr>
        <w:t xml:space="preserve">LA SOLICITUD AL CABILDO</w:t>
      </w:r>
    </w:p>
    <w:p>
      <w:pPr>
        <w:spacing w:before="240"/>
      </w:pPr>
      <w:r>
        <w:rPr>
          <w:rFonts w:ascii="Arial" w:cs="Arial" w:eastAsia="Arial" w:hAnsi="Arial"/>
          <w:color w:val="1a1a1a"/>
          <w:sz w:val="22"/>
          <w:szCs w:val="22"/>
        </w:rPr>
        <w:t xml:space="preserve">Se solicita al Honorable Ayuntamiento de [MUNICIPIO] aprobar:</w:t>
      </w:r>
    </w:p>
    <w:p>
      <w:pPr>
        <w:pStyle w:val="ListParagraph"/>
        <w:numPr>
          <w:ilvl w:val="0"/>
          <w:numId w:val="2"/>
        </w:numPr>
        <w:spacing w:before="240"/>
      </w:pPr>
      <w:r>
        <w:rPr>
          <w:rFonts w:ascii="Arial" w:cs="Arial" w:eastAsia="Arial" w:hAnsi="Arial"/>
          <w:b/>
          <w:bCs/>
          <w:color w:val="1a1a1a"/>
          <w:sz w:val="22"/>
          <w:szCs w:val="22"/>
        </w:rPr>
        <w:t xml:space="preserve">Reforma reglamentaria propuesta</w:t>
      </w:r>
    </w:p>
    <w:p>
      <w:pPr>
        <w:pStyle w:val="ListParagraph"/>
        <w:numPr>
          <w:ilvl w:val="0"/>
          <w:numId w:val="2"/>
        </w:numPr>
      </w:pPr>
      <w:r>
        <w:rPr>
          <w:rFonts w:ascii="Arial" w:cs="Arial" w:eastAsia="Arial" w:hAnsi="Arial"/>
          <w:b/>
          <w:bCs/>
          <w:color w:val="1a1a1a"/>
          <w:sz w:val="22"/>
          <w:szCs w:val="22"/>
        </w:rPr>
        <w:t xml:space="preserve">Asignación presupuestal para fase de Implementación en el próximo ejercicio fiscal</w:t>
      </w:r>
    </w:p>
    <w:p>
      <w:pPr>
        <w:pStyle w:val="ListParagraph"/>
        <w:numPr>
          <w:ilvl w:val="0"/>
          <w:numId w:val="2"/>
        </w:numPr>
      </w:pPr>
      <w:r>
        <w:rPr>
          <w:rFonts w:ascii="Arial" w:cs="Arial" w:eastAsia="Arial" w:hAnsi="Arial"/>
          <w:b/>
          <w:bCs/>
          <w:color w:val="1a1a1a"/>
          <w:sz w:val="22"/>
          <w:szCs w:val="22"/>
        </w:rPr>
        <w:t xml:space="preserve">Creación del Comité de Seguimiento del Programa con sesiones trimestrales documentadas</w:t>
      </w:r>
    </w:p>
    <w:p>
      <w:pPr>
        <w:pStyle w:val="ListParagraph"/>
        <w:numPr>
          <w:ilvl w:val="0"/>
          <w:numId w:val="2"/>
        </w:numPr>
      </w:pPr>
      <w:r>
        <w:rPr>
          <w:rFonts w:ascii="Arial" w:cs="Arial" w:eastAsia="Arial" w:hAnsi="Arial"/>
          <w:b/>
          <w:bCs/>
          <w:color w:val="1a1a1a"/>
          <w:sz w:val="22"/>
          <w:szCs w:val="22"/>
        </w:rPr>
        <w:t xml:space="preserve">Suscripción del convenio de acompañamiento con la Plataforma Alquimia</w:t>
      </w:r>
    </w:p>
    <w:p>
      <w:pPr>
        <w:pBdr>
          <w:top w:val="single" w:color="CCCCCC" w:sz="6" w:space="4"/>
        </w:pBdr>
        <w:spacing w:before="480"/>
      </w:pPr>
      <w:r>
        <w:t xml:space="preserve"/>
      </w:r>
    </w:p>
    <w:p>
      <w:pPr>
        <w:spacing w:before="240"/>
      </w:pPr>
      <w:r>
        <w:rPr>
          <w:rFonts w:ascii="Arial" w:cs="Arial" w:eastAsia="Arial" w:hAnsi="Arial"/>
          <w:i/>
          <w:iCs/>
          <w:color w:val="555555"/>
          <w:sz w:val="18"/>
          <w:szCs w:val="18"/>
        </w:rPr>
        <w:t xml:space="preserve">Este resumen acompaña al Expediente de Diagnóstico completo, documento de aproximadamente [N_PAGINAS] páginas que contiene metodología detallada, anexos con documentos institucionales aportados por el municipio, bibliografía completa con [N_CITAS] referencias verificables, y matriz de riesgos completa.</w:t>
      </w:r>
    </w:p>
    <w:p>
      <w:pPr>
        <w:spacing w:before="480"/>
      </w:pPr>
      <w:r>
        <w:rPr>
          <w:rFonts w:ascii="Arial" w:cs="Arial" w:eastAsia="Arial" w:hAnsi="Arial"/>
          <w:b/>
          <w:bCs/>
          <w:color w:val="1a1a1a"/>
          <w:sz w:val="28"/>
          <w:szCs w:val="28"/>
        </w:rPr>
        <w:t xml:space="preserve">Súmate al cambio.</w:t>
      </w:r>
    </w:p>
    <w:p>
      <w:pPr>
        <w:spacing w:before="60"/>
      </w:pPr>
      <w:r>
        <w:rPr>
          <w:rFonts w:ascii="Arial" w:cs="Arial" w:eastAsia="Arial" w:hAnsi="Arial"/>
          <w:i/>
          <w:iCs/>
          <w:color w:val="555555"/>
          <w:sz w:val="22"/>
          <w:szCs w:val="22"/>
        </w:rPr>
        <w:t xml:space="preserve">La circularidad en tu ciudad sí se puede.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999999"/>
        <w:sz w:val="12"/>
        <w:szCs w:val="12"/>
      </w:rPr>
      <w:t xml:space="preserve">Documento Alquimia · [FECHA] · alquimiaplatform.com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jc w:val="right"/>
    </w:pPr>
    <w:r>
      <w:rPr>
        <w:rFonts w:ascii="Arial" w:cs="Arial" w:eastAsia="Arial" w:hAnsi="Arial"/>
        <w:color w:val="888888"/>
        <w:sz w:val="14"/>
        <w:szCs w:val="14"/>
      </w:rPr>
      <w:t xml:space="preserve">ALQUIMIA · Resumen Ejecutivo · [MUNICIPIO]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Ejecutivo</dc:title>
  <dc:creator>Alquimia Platform</dc:creator>
  <cp:lastModifiedBy>Un-named</cp:lastModifiedBy>
  <cp:revision>1</cp:revision>
  <dcterms:created xsi:type="dcterms:W3CDTF">2026-06-02T18:17:54.842Z</dcterms:created>
  <dcterms:modified xsi:type="dcterms:W3CDTF">2026-06-02T18:17:54.842Z</dcterms:modified>
</cp:coreProperties>
</file>

<file path=docProps/custom.xml><?xml version="1.0" encoding="utf-8"?>
<Properties xmlns="http://schemas.openxmlformats.org/officeDocument/2006/custom-properties" xmlns:vt="http://schemas.openxmlformats.org/officeDocument/2006/docPropsVTypes"/>
</file>