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36"/>
          <w:szCs w:val="36"/>
        </w:rPr>
        <w:t xml:space="preserve">ALQUIMIA · SUPERMIND</w:t>
      </w:r>
    </w:p>
    <w:p>
      <w:pPr>
        <w:spacing w:after="60"/>
        <w:jc w:val="center"/>
      </w:pPr>
      <w:r>
        <w:rPr>
          <w:rFonts w:ascii="Arial" w:cs="Arial" w:eastAsia="Arial" w:hAnsi="Arial"/>
          <w:i/>
          <w:iCs/>
          <w:color w:val="595959"/>
          <w:sz w:val="22"/>
          <w:szCs w:val="22"/>
        </w:rPr>
        <w:t xml:space="preserve">Roadmap de Evolución y Crecimiento</w:t>
      </w:r>
    </w:p>
    <w:p>
      <w:pPr>
        <w:spacing w:after="240"/>
        <w:jc w:val="center"/>
      </w:pPr>
      <w:r>
        <w:rPr>
          <w:rFonts w:ascii="Arial" w:cs="Arial" w:eastAsia="Arial" w:hAnsi="Arial"/>
          <w:i/>
          <w:iCs/>
          <w:color w:val="808080"/>
          <w:sz w:val="16"/>
          <w:szCs w:val="16"/>
        </w:rPr>
        <w:t xml:space="preserve">Uso interno · alquimiaplatform.com · Mayo 2026</w:t>
      </w:r>
    </w:p>
    <w:p>
      <w:pPr>
        <w:pStyle w:val="Heading1"/>
        <w:spacing w:after="120" w:before="240"/>
      </w:pPr>
      <w:r>
        <w:rPr>
          <w:rFonts w:ascii="Arial" w:cs="Arial" w:eastAsia="Arial" w:hAnsi="Arial"/>
          <w:b/>
          <w:bCs/>
          <w:color w:val="1F4E79"/>
          <w:sz w:val="30"/>
          <w:szCs w:val="30"/>
        </w:rPr>
        <w:t xml:space="preserve">La visión — Cómo nos volvemos indispensables</w:t>
      </w:r>
    </w:p>
    <w:p>
      <w:pPr>
        <w:pBdr>
          <w:bottom w:val="single" w:color="1F4E79" w:sz="6" w:space="1"/>
        </w:pBdr>
        <w:spacing w:after="140" w:before="40"/>
      </w:pPr>
      <w:r>
        <w:t xml:space="preserve"/>
      </w:r>
    </w:p>
    <w:p>
      <w:pPr>
        <w:spacing w:after="100" w:line="280"/>
        <w:jc w:val="both"/>
      </w:pPr>
      <w:r>
        <w:rPr>
          <w:b w:val="false"/>
          <w:bCs w:val="false"/>
          <w:i w:val="false"/>
          <w:iCs w:val="false"/>
          <w:color w:val="1F1F1F"/>
          <w:sz w:val="20"/>
          <w:szCs w:val="20"/>
        </w:rPr>
        <w:t xml:space="preserve">Alquimia construye la única plataforma en América Latina que convierte la consultoría —ese trabajo caro, lento y artesanal que hoy sólo las grandes corporaciones pueden pagar— en un sistema operativo continuo que vive en la organización del cliente. No vendemos un PDF que se archiva. Vendemos un motor que diagnostica, planea, ejecuta y controla, y que se queda funcionando todos los días después de la primera entrega.</w:t>
      </w:r>
    </w:p>
    <w:p>
      <w:pPr>
        <w:spacing w:after="100" w:line="280"/>
        <w:jc w:val="both"/>
      </w:pPr>
      <w:r>
        <w:rPr>
          <w:b w:val="false"/>
          <w:bCs w:val="false"/>
          <w:i w:val="false"/>
          <w:iCs w:val="false"/>
          <w:color w:val="1F1F1F"/>
          <w:sz w:val="20"/>
          <w:szCs w:val="20"/>
        </w:rPr>
        <w:t xml:space="preserve">El arco completo tiene tres movimientos. Primero, automatizamos la consultoría pública municipal en residuos sólidos (GOV RSU), donde ya tenemos producto en producción y donde el problema es universal y regulado. Segundo, expandimos a otros temas de política pública municipal con el mismo motor, capitalizando contratos institucionales. Tercero, llevamos el motor al mercado privado de PyMEs, agregando la asesoría por voz como mecanismo de captura, donde el cliente cuenta su historia y la plataforma se arma sola. Y al final del arco —18 a 36 meses— los datos acumulados de toda esa consultoría se convierten en Supermind: un ERP modular con agentes embebidos que opera la empresa o el municipio sin que nadie tenga que migrar de sistema.</w:t>
      </w:r>
    </w:p>
    <w:p>
      <w:pPr>
        <w:spacing w:after="100" w:line="280"/>
        <w:jc w:val="both"/>
      </w:pPr>
      <w:r>
        <w:rPr>
          <w:b w:val="false"/>
          <w:bCs w:val="false"/>
          <w:i w:val="false"/>
          <w:iCs w:val="false"/>
          <w:color w:val="1F1F1F"/>
          <w:sz w:val="20"/>
          <w:szCs w:val="20"/>
        </w:rPr>
        <w:t xml:space="preserve">La indispensabilidad no viene de tener más features que SAP o Salesforce. Viene de tres cosas. La primera es el grafo de datos que sólo Alquimia tiene: cada empresa y cada municipio que pasa por la plataforma deja un rastro estructurado de procesos, dolores, residuos, consumos, finanzas, normativa —ese grafo cruza tenants y se vuelve único en el mercado. La segunda es la inversión hundida del cliente: una vez que su organigrama, sus SOPs, sus indicadores y su Compliance están en Alquimia, salir cuesta más que quedarse. La tercera es el modelo compositivo: cada cliente recibe un sistema que se siente hecho a medida porque la combinación de su Sector Pack más su Activation Map más su Company Profile es única, pero el código fuente es uno solo y mantenible.</w:t>
      </w:r>
    </w:p>
    <w:p>
      <w:pPr>
        <w:spacing w:after="100" w:line="280"/>
        <w:jc w:val="both"/>
      </w:pPr>
      <w:r>
        <w:rPr>
          <w:b w:val="false"/>
          <w:bCs w:val="false"/>
          <w:i w:val="false"/>
          <w:iCs w:val="false"/>
          <w:color w:val="1F1F1F"/>
          <w:sz w:val="20"/>
          <w:szCs w:val="20"/>
        </w:rPr>
        <w:t xml:space="preserve">En 36 meses, Alquimia es a la consultoría latinoamericana lo que Stripe es a los pagos: la infraestructura por encima de la cual todos los demás operan.</w:t>
      </w:r>
    </w:p>
    <w:p>
      <w:r>
        <w:br w:type="page"/>
      </w:r>
    </w:p>
    <w:p>
      <w:pPr>
        <w:pStyle w:val="Heading1"/>
        <w:spacing w:after="120" w:before="240"/>
      </w:pPr>
      <w:r>
        <w:rPr>
          <w:rFonts w:ascii="Arial" w:cs="Arial" w:eastAsia="Arial" w:hAnsi="Arial"/>
          <w:b/>
          <w:bCs/>
          <w:color w:val="1F4E79"/>
          <w:sz w:val="30"/>
          <w:szCs w:val="30"/>
        </w:rPr>
        <w:t xml:space="preserve">Fase 1 · Alquimia GOV RSU — Mes 0 al 6</w:t>
      </w:r>
    </w:p>
    <w:p>
      <w:pPr>
        <w:pBdr>
          <w:bottom w:val="single" w:color="1F4E79" w:sz="6" w:space="1"/>
        </w:pBdr>
        <w:spacing w:after="140" w:before="40"/>
      </w:pPr>
      <w:r>
        <w:t xml:space="preserve"/>
      </w:r>
    </w:p>
    <w:p>
      <w:pPr>
        <w:spacing w:after="100" w:line="280"/>
        <w:jc w:val="both"/>
      </w:pPr>
      <w:r>
        <w:rPr>
          <w:b w:val="false"/>
          <w:bCs w:val="false"/>
          <w:i w:val="false"/>
          <w:iCs w:val="false"/>
          <w:color w:val="1F1F1F"/>
          <w:sz w:val="20"/>
          <w:szCs w:val="20"/>
        </w:rPr>
        <w:t xml:space="preserve">El motor comercial de arranque. Producto ya en producción. Capitaliza con contratos municipales mientras se prepara la siguiente fase. Sin levantar capital externo. Sin contratar ingeniería humana —el workforce es AI-first.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Qué hace</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Plataforma de gestión integral de residuos sólidos urbanos para municipios. Cinco módulos productivos: diagnóstico territorial, escenarios de circularidad, mapa de cumplimiento legal, hoja de ruta con indicadores, exportables ejecutivos para cabildo y financiadores (BANOBRAS, BID, Fondo Metropolitano).</w:t>
            </w:r>
          </w:p>
        </w:tc>
      </w:tr>
      <w:tr>
        <w:tc>
          <w:tcPr>
            <w:tcW w:type="dxa" w:w="2200"/>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jc w:val="left"/>
            </w:pPr>
            <w:r>
              <w:rPr>
                <w:rFonts w:ascii="Arial" w:cs="Arial" w:eastAsia="Arial" w:hAnsi="Arial"/>
                <w:b/>
                <w:bCs/>
                <w:color w:val="1F1F1F"/>
                <w:sz w:val="18"/>
                <w:szCs w:val="18"/>
              </w:rPr>
              <w:t xml:space="preserve">Cliente</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Municipios mexicanos de 100k a 1.5M habitantes. Stakeholders del proceso: Presidente Municipal, Secretario de Servicios Públicos / Medio Ambiente, Tesorero Municipal, Regidores de Cabildo.</w:t>
            </w:r>
          </w:p>
        </w:tc>
      </w:tr>
      <w:tr>
        <w:tc>
          <w:tcPr>
            <w:tcW w:type="dxa" w:w="2200"/>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jc w:val="left"/>
            </w:pPr>
            <w:r>
              <w:rPr>
                <w:rFonts w:ascii="Arial" w:cs="Arial" w:eastAsia="Arial" w:hAnsi="Arial"/>
                <w:b/>
                <w:bCs/>
                <w:color w:val="1F1F1F"/>
                <w:sz w:val="18"/>
                <w:szCs w:val="18"/>
              </w:rPr>
              <w:t xml:space="preserve">Modelo de cobro</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Contrato consultivo único de implementación + suscripción anual de mantenimiento y actualización. Posible esquema mixto con financiamiento BANOBRAS / Fondo Metropolitano que el municipio puede usar para pagar.</w:t>
            </w:r>
          </w:p>
        </w:tc>
      </w:tr>
      <w:tr>
        <w:tc>
          <w:tcPr>
            <w:tcW w:type="dxa" w:w="2200"/>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jc w:val="left"/>
            </w:pPr>
            <w:r>
              <w:rPr>
                <w:rFonts w:ascii="Arial" w:cs="Arial" w:eastAsia="Arial" w:hAnsi="Arial"/>
                <w:b/>
                <w:bCs/>
                <w:color w:val="1F1F1F"/>
                <w:sz w:val="18"/>
                <w:szCs w:val="18"/>
              </w:rPr>
              <w:t xml:space="preserve">Precio (mercado)</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Contrato inicial: $400,000 – $1,800,000 MXN según tamaño del municipio. Suscripción anual: $120,000 – $480,000 MXN. Comparable: despacho ambiental tradicional cobra $800K–$3M por equivalente y tarda 6–9 meses.</w:t>
            </w:r>
          </w:p>
        </w:tc>
      </w:tr>
      <w:tr>
        <w:tc>
          <w:tcPr>
            <w:tcW w:type="dxa" w:w="2200"/>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jc w:val="left"/>
            </w:pPr>
            <w:r>
              <w:rPr>
                <w:rFonts w:ascii="Arial" w:cs="Arial" w:eastAsia="Arial" w:hAnsi="Arial"/>
                <w:b/>
                <w:bCs/>
                <w:color w:val="1F1F1F"/>
                <w:sz w:val="18"/>
                <w:szCs w:val="18"/>
              </w:rPr>
              <w:t xml:space="preserve">CAPEX construcción</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Ya hundido (producto en producción). CAPEX incremental para escalar y comercializar: ~$80,000–$150,000 MXN en marketing institucional, materiales de propuesta, soporte de operadores certificados para los primeros 3 municipios.</w:t>
            </w:r>
          </w:p>
        </w:tc>
      </w:tr>
      <w:tr>
        <w:tc>
          <w:tcPr>
            <w:tcW w:type="dxa" w:w="22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pPr>
              <w:jc w:val="left"/>
            </w:pPr>
            <w:r>
              <w:rPr>
                <w:rFonts w:ascii="Arial" w:cs="Arial" w:eastAsia="Arial" w:hAnsi="Arial"/>
                <w:b/>
                <w:bCs/>
                <w:color w:val="1F1F1F"/>
                <w:sz w:val="18"/>
                <w:szCs w:val="18"/>
              </w:rPr>
              <w:t xml:space="preserve">Socio estratégico</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Ing. Ambiental o Ing. Químico con cédula profesional + 10 años en gestión municipal de residuos. Idealmente ex-funcionario SEMARNAT estatal o ex-director de Servicios Públicos municipal. Reclutar en: AMICA (Asociación Mexicana para el Control de Residuos), Colegio de Ingenieros Ambientales, exalumnos de El Colegio de México (políticas ambientales).</w:t>
            </w:r>
          </w:p>
        </w:tc>
      </w:tr>
      <w:tr>
        <w:tc>
          <w:tcPr>
            <w:tcW w:type="dxa" w:w="2200"/>
            <w:tcBorders>
              <w:top w:val="single" w:color="BFBFBF" w:sz="1"/>
              <w:left w:val="single" w:color="BFBFBF" w:sz="1"/>
              <w:bottom w:val="single" w:color="BFBFBF" w:sz="1"/>
              <w:right w:val="single" w:color="BFBFBF" w:sz="1"/>
            </w:tcBorders>
            <w:shd w:fill="FCF8E3" w:val="clear"/>
            <w:tcMar>
              <w:top w:type="dxa" w:w="80"/>
              <w:left w:type="dxa" w:w="100"/>
              <w:bottom w:type="dxa" w:w="80"/>
              <w:right w:type="dxa" w:w="100"/>
            </w:tcMar>
          </w:tcPr>
          <w:p>
            <w:pPr>
              <w:jc w:val="left"/>
            </w:pPr>
            <w:r>
              <w:rPr>
                <w:rFonts w:ascii="Arial" w:cs="Arial" w:eastAsia="Arial" w:hAnsi="Arial"/>
                <w:b/>
                <w:bCs/>
                <w:color w:val="1F1F1F"/>
                <w:sz w:val="18"/>
                <w:szCs w:val="18"/>
              </w:rPr>
              <w:t xml:space="preserve">Competencia</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Despachos ambientales tradicionales (Sustenta, Cinosargo, GEAM), consultorías grandes (Deloitte Sustainability). Alquimia gana en: velocidad de entrega (semanas vs meses), costo (50–60% menor), entregables vivos (no PDF archivado), trazabilidad para auditoría (ASF, PROFEPA).</w:t>
            </w:r>
          </w:p>
        </w:tc>
      </w:tr>
    </w:tbl>
    <w:p>
      <w:pPr>
        <w:spacing w:after="60"/>
      </w:pPr>
      <w:r>
        <w:t xml:space="preserve"/>
      </w:r>
    </w:p>
    <w:p>
      <w:pPr>
        <w:pStyle w:val="Heading1"/>
        <w:spacing w:after="120" w:before="240"/>
      </w:pPr>
      <w:r>
        <w:rPr>
          <w:rFonts w:ascii="Arial" w:cs="Arial" w:eastAsia="Arial" w:hAnsi="Arial"/>
          <w:b/>
          <w:bCs/>
          <w:color w:val="1F4E79"/>
          <w:sz w:val="30"/>
          <w:szCs w:val="30"/>
        </w:rPr>
        <w:t xml:space="preserve">Fase 2 · Alquimia GOV expansión — Mes 4 al 14 (solapamiento con Fase 1)</w:t>
      </w:r>
    </w:p>
    <w:p>
      <w:pPr>
        <w:pBdr>
          <w:bottom w:val="single" w:color="1F4E79" w:sz="6" w:space="1"/>
        </w:pBdr>
        <w:spacing w:after="140" w:before="40"/>
      </w:pPr>
      <w:r>
        <w:t xml:space="preserve"/>
      </w:r>
    </w:p>
    <w:p>
      <w:pPr>
        <w:spacing w:after="100" w:line="280"/>
        <w:jc w:val="both"/>
      </w:pPr>
      <w:r>
        <w:rPr>
          <w:b w:val="false"/>
          <w:bCs w:val="false"/>
          <w:i w:val="false"/>
          <w:iCs w:val="false"/>
          <w:color w:val="1F1F1F"/>
          <w:sz w:val="20"/>
          <w:szCs w:val="20"/>
        </w:rPr>
        <w:t xml:space="preserve">Expansión del motor GOV a otros temas municipales reutilizando la misma arquitectura. Cada tema es un Sector Pack nuevo —no código nuevo. Mismo cliente municipal, ticket más alto por contrato múltiple.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900"/>
        <w:gridCol w:w="24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Tema</w:t>
            </w:r>
          </w:p>
        </w:tc>
        <w:tc>
          <w:tcPr>
            <w:tcW w:type="dxa" w:w="260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Qué resuelve</w:t>
            </w:r>
          </w:p>
        </w:tc>
        <w:tc>
          <w:tcPr>
            <w:tcW w:type="dxa" w:w="190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Precio (mercado)</w:t>
            </w:r>
          </w:p>
        </w:tc>
        <w:tc>
          <w:tcPr>
            <w:tcW w:type="dxa" w:w="246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Socio estratégico requerido</w:t>
            </w:r>
          </w:p>
        </w:tc>
      </w:tr>
      <w:tr>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color w:val="1F1F1F"/>
                <w:sz w:val="18"/>
                <w:szCs w:val="18"/>
              </w:rPr>
              <w:t xml:space="preserve">Descarbonización municipal</w:t>
            </w:r>
          </w:p>
        </w:tc>
        <w:tc>
          <w:tcPr>
            <w:tcW w:type="dxa" w:w="26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Inventario GHG del municipio (GHG Protocol Cities) + plan de reducción alineado a NDC México.</w:t>
            </w:r>
          </w:p>
        </w:tc>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$300K–$1.2M MXN</w:t>
            </w:r>
          </w:p>
        </w:tc>
        <w:tc>
          <w:tcPr>
            <w:tcW w:type="dxa" w:w="2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Ing. Ambiental especialista en GHG + certificación ISO 14064. CMIC capítulo sustentabilidad.</w:t>
            </w:r>
          </w:p>
        </w:tc>
      </w:tr>
      <w:tr>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color w:val="1F1F1F"/>
                <w:sz w:val="18"/>
                <w:szCs w:val="18"/>
              </w:rPr>
              <w:t xml:space="preserve">Transporte público y movilidad</w:t>
            </w:r>
          </w:p>
        </w:tc>
        <w:tc>
          <w:tcPr>
            <w:tcW w:type="dxa" w:w="26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Diagnóstico de rutas, eficiencia vehicular, plan de electrificación, financiamiento BANOBRAS para flotas.</w:t>
            </w:r>
          </w:p>
        </w:tc>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$500K–$2M MXN</w:t>
            </w:r>
          </w:p>
        </w:tc>
        <w:tc>
          <w:tcPr>
            <w:tcW w:type="dxa" w:w="2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Ing. Civil o Transporte con maestría en planeación urbana. Ex-IMT (Instituto Mexicano del Transporte) o ITDP.</w:t>
            </w:r>
          </w:p>
        </w:tc>
      </w:tr>
      <w:tr>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color w:val="1F1F1F"/>
                <w:sz w:val="18"/>
                <w:szCs w:val="18"/>
              </w:rPr>
              <w:t xml:space="preserve">Agua y saneamiento</w:t>
            </w:r>
          </w:p>
        </w:tc>
        <w:tc>
          <w:tcPr>
            <w:tcW w:type="dxa" w:w="26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Pérdidas en red, plan de modernización de organismo operador, cumplimiento CONAGUA.</w:t>
            </w:r>
          </w:p>
        </w:tc>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$600K–$2.5M MXN</w:t>
            </w:r>
          </w:p>
        </w:tc>
        <w:tc>
          <w:tcPr>
            <w:tcW w:type="dxa" w:w="2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Ing. Civil hidráulico o Ing. Ambiental. ANEAS (Asociación Nacional de Empresas de Agua y Saneamiento).</w:t>
            </w:r>
          </w:p>
        </w:tc>
      </w:tr>
      <w:tr>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color w:val="1F1F1F"/>
                <w:sz w:val="18"/>
                <w:szCs w:val="18"/>
              </w:rPr>
              <w:t xml:space="preserve">Asesoría integral</w:t>
            </w:r>
          </w:p>
        </w:tc>
        <w:tc>
          <w:tcPr>
            <w:tcW w:type="dxa" w:w="26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Encuestas automatizadas, consultas públicas, estudios de opinión, hojas de ruta para cualquier área.</w:t>
            </w:r>
          </w:p>
        </w:tc>
        <w:tc>
          <w:tcPr>
            <w:tcW w:type="dxa" w:w="19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$150K–$600K MXN por estudio</w:t>
            </w:r>
          </w:p>
        </w:tc>
        <w:tc>
          <w:tcPr>
            <w:tcW w:type="dxa" w:w="24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Politólogo / sociólogo con experiencia en investigación cuantitativa. Ex-INEGI, ex-CIDE.</w:t>
            </w:r>
          </w:p>
        </w:tc>
      </w:tr>
    </w:tbl>
    <w:p>
      <w:pPr>
        <w:spacing w:after="60"/>
      </w:pPr>
      <w:r>
        <w:t xml:space="preserve"/>
      </w:r>
    </w:p>
    <w:p>
      <w:pPr>
        <w:spacing w:after="100" w:line="280"/>
        <w:jc w:val="both"/>
      </w:pPr>
      <w:r>
        <w:rPr>
          <w:b/>
          <w:bCs/>
          <w:i w:val="false"/>
          <w:iCs w:val="false"/>
          <w:color w:val="1F4E79"/>
          <w:sz w:val="20"/>
          <w:szCs w:val="20"/>
        </w:rPr>
        <w:t xml:space="preserve">Modelo de cobro Fase 2: </w:t>
      </w:r>
      <w:r>
        <w:rPr>
          <w:color w:val="1F1F1F"/>
          <w:sz w:val="20"/>
          <w:szCs w:val="20"/>
        </w:rPr>
        <w:t xml:space="preserve">Igual que Fase 1 (contrato consultivo único + suscripción anual). CAPEX por nuevo tema: $50K–$120K MXN para construir el Sector Pack (YAML, normativa, benchmarks) más capacitación del socio profesional. La construcción técnica está cerca de cero porque el motor es el mismo —solo se agrega configuración.</w:t>
      </w:r>
    </w:p>
    <w:p>
      <w:pPr>
        <w:spacing w:after="100" w:line="280"/>
        <w:jc w:val="both"/>
      </w:pPr>
      <w:r>
        <w:rPr>
          <w:b/>
          <w:bCs/>
          <w:i w:val="false"/>
          <w:iCs w:val="false"/>
          <w:color w:val="1F4E79"/>
          <w:sz w:val="20"/>
          <w:szCs w:val="20"/>
        </w:rPr>
        <w:t xml:space="preserve">Competencia Fase 2: </w:t>
      </w:r>
      <w:r>
        <w:rPr>
          <w:color w:val="1F1F1F"/>
          <w:sz w:val="20"/>
          <w:szCs w:val="20"/>
        </w:rPr>
        <w:t xml:space="preserve">Fragmentada por tema. En transporte compite con IMT y consultoras de movilidad. En agua con BANOBRAS-aliados. En descarbonización con KPMG/Deloitte. La ventaja de Alquimia es el efecto cartera: un municipio que ya nos contrató para RSU compra el segundo y tercer Sector Pack con menor fricción comercial.</w:t>
      </w:r>
    </w:p>
    <w:p>
      <w:r>
        <w:br w:type="page"/>
      </w:r>
    </w:p>
    <w:p>
      <w:pPr>
        <w:pStyle w:val="Heading1"/>
        <w:spacing w:after="120" w:before="240"/>
      </w:pPr>
      <w:r>
        <w:rPr>
          <w:rFonts w:ascii="Arial" w:cs="Arial" w:eastAsia="Arial" w:hAnsi="Arial"/>
          <w:b/>
          <w:bCs/>
          <w:color w:val="1F4E79"/>
          <w:sz w:val="30"/>
          <w:szCs w:val="30"/>
        </w:rPr>
        <w:t xml:space="preserve">Fase 3 · Alquimia Empresarial Construcción — Mes 10 al 18</w:t>
      </w:r>
    </w:p>
    <w:p>
      <w:pPr>
        <w:pBdr>
          <w:bottom w:val="single" w:color="1F4E79" w:sz="6" w:space="1"/>
        </w:pBdr>
        <w:spacing w:after="140" w:before="40"/>
      </w:pPr>
      <w:r>
        <w:t xml:space="preserve"/>
      </w:r>
    </w:p>
    <w:p>
      <w:pPr>
        <w:spacing w:after="100" w:line="280"/>
        <w:jc w:val="both"/>
      </w:pPr>
      <w:r>
        <w:rPr>
          <w:b w:val="false"/>
          <w:bCs w:val="false"/>
          <w:i w:val="false"/>
          <w:iCs w:val="false"/>
          <w:color w:val="1F1F1F"/>
          <w:sz w:val="20"/>
          <w:szCs w:val="20"/>
        </w:rPr>
        <w:t xml:space="preserve">Salto al mercado privado de PyMEs. Aquí entra la asesoría por voz como capacidad central —el diferenciador único que ningún competidor tiene. La hipótesis: el dueño de constructora PyME no llena formularios, pero sí cuenta su historia. La plataforma escucha, transcribe, estructura, y se arma sola.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Qué hace</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Onboarding por voz en tiempo real: el dueño de la constructora tiene una conversación de 45 minutos con la plataforma. Al terminar, el sistema entrega: diagnóstico multi-área (energía, residuos, finanzas, RH, compliance), módulo profundo de gestión de proyectos con PERT, documentos legales y de RH generados (RIT, contratos, descriptivos de puesto), y un plan de acción de eficiencia operativa con ROI estimado por iniciativa.</w:t>
            </w:r>
          </w:p>
        </w:tc>
      </w:tr>
      <w:tr>
        <w:tc>
          <w:tcPr>
            <w:tcW w:type="dxa" w:w="2200"/>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jc w:val="left"/>
            </w:pPr>
            <w:r>
              <w:rPr>
                <w:rFonts w:ascii="Arial" w:cs="Arial" w:eastAsia="Arial" w:hAnsi="Arial"/>
                <w:b/>
                <w:bCs/>
                <w:color w:val="1F1F1F"/>
                <w:sz w:val="18"/>
                <w:szCs w:val="18"/>
              </w:rPr>
              <w:t xml:space="preserve">Cliente</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Constructoras PyME con 10–80 empleados, 3–10 obras anuales, vivienda residencial o comercial pequeño-mediano en Monterrey, CDMX, GDL. Stakeholders: Director General (dueño-fundador), Residente de Obra, Gerente de Compras, Contralor.</w:t>
            </w:r>
          </w:p>
        </w:tc>
      </w:tr>
      <w:tr>
        <w:tc>
          <w:tcPr>
            <w:tcW w:type="dxa" w:w="2200"/>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jc w:val="left"/>
            </w:pPr>
            <w:r>
              <w:rPr>
                <w:rFonts w:ascii="Arial" w:cs="Arial" w:eastAsia="Arial" w:hAnsi="Arial"/>
                <w:b/>
                <w:bCs/>
                <w:color w:val="1F1F1F"/>
                <w:sz w:val="18"/>
                <w:szCs w:val="18"/>
              </w:rPr>
              <w:t xml:space="preserve">Modelo de cobro</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SaaS recurrente mensual + setup fee inicial. Tres tiers: Lite (gratis con 1 obra activa), Pro (3 tiers de pricing según número de obras y empleados), Enterprise (mayor a 100 empleados, custom).</w:t>
            </w:r>
          </w:p>
        </w:tc>
      </w:tr>
      <w:tr>
        <w:tc>
          <w:tcPr>
            <w:tcW w:type="dxa" w:w="2200"/>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jc w:val="left"/>
            </w:pPr>
            <w:r>
              <w:rPr>
                <w:rFonts w:ascii="Arial" w:cs="Arial" w:eastAsia="Arial" w:hAnsi="Arial"/>
                <w:b/>
                <w:bCs/>
                <w:color w:val="1F1F1F"/>
                <w:sz w:val="18"/>
                <w:szCs w:val="18"/>
              </w:rPr>
              <w:t xml:space="preserve">Precio (mercado)</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Setup fee inicial: $15,000–$35,000 MXN. Suscripción Pro: $2,500–$8,500 MXN/mes según tier. Enterprise: $15,000–$45,000 MXN/mes. Comparable: despacho boutique de consultoría a constructora cobra $80K–$250K por diagnóstico único anual.</w:t>
            </w:r>
          </w:p>
        </w:tc>
      </w:tr>
      <w:tr>
        <w:tc>
          <w:tcPr>
            <w:tcW w:type="dxa" w:w="2200"/>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jc w:val="left"/>
            </w:pPr>
            <w:r>
              <w:rPr>
                <w:rFonts w:ascii="Arial" w:cs="Arial" w:eastAsia="Arial" w:hAnsi="Arial"/>
                <w:b/>
                <w:bCs/>
                <w:color w:val="1F1F1F"/>
                <w:sz w:val="18"/>
                <w:szCs w:val="18"/>
              </w:rPr>
              <w:t xml:space="preserve">CAPEX construcción</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$180,000–$320,000 MXN para construir: integración Deepgram + ElevenLabs para voz, módulo PROJECT con PERT determinístico, Sector Pack Construcción completo (catálogo de equipos, normativa NOM-031, reglamentos por estado), wizard de onboarding multimodal, primer dashboard ejecutivo. Aquí está el costo mayor del producto.</w:t>
            </w:r>
          </w:p>
        </w:tc>
      </w:tr>
      <w:tr>
        <w:tc>
          <w:tcPr>
            <w:tcW w:type="dxa" w:w="22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pPr>
              <w:jc w:val="left"/>
            </w:pPr>
            <w:r>
              <w:rPr>
                <w:rFonts w:ascii="Arial" w:cs="Arial" w:eastAsia="Arial" w:hAnsi="Arial"/>
                <w:b/>
                <w:bCs/>
                <w:color w:val="1F1F1F"/>
                <w:sz w:val="18"/>
                <w:szCs w:val="18"/>
              </w:rPr>
              <w:t xml:space="preserve">Socio estratégico</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Arquitecto o Ing. Civil con cédula DRO (Director Responsable de Obra), 10+ años en obra residencial PyME, idealmente con experiencia en CMIC (Cámara Mexicana de la Industria de la Construcción) o Colegio de Arquitectos local. Que conozca el lenguaje del oficio: estimativas, generadoras, escalatorias, bitácora de obra.</w:t>
            </w:r>
          </w:p>
        </w:tc>
      </w:tr>
      <w:tr>
        <w:tc>
          <w:tcPr>
            <w:tcW w:type="dxa" w:w="2200"/>
            <w:tcBorders>
              <w:top w:val="single" w:color="BFBFBF" w:sz="1"/>
              <w:left w:val="single" w:color="BFBFBF" w:sz="1"/>
              <w:bottom w:val="single" w:color="BFBFBF" w:sz="1"/>
              <w:right w:val="single" w:color="BFBFBF" w:sz="1"/>
            </w:tcBorders>
            <w:shd w:fill="FCF8E3" w:val="clear"/>
            <w:tcMar>
              <w:top w:type="dxa" w:w="80"/>
              <w:left w:type="dxa" w:w="100"/>
              <w:bottom w:type="dxa" w:w="80"/>
              <w:right w:type="dxa" w:w="100"/>
            </w:tcMar>
          </w:tcPr>
          <w:p>
            <w:pPr>
              <w:jc w:val="left"/>
            </w:pPr>
            <w:r>
              <w:rPr>
                <w:rFonts w:ascii="Arial" w:cs="Arial" w:eastAsia="Arial" w:hAnsi="Arial"/>
                <w:b/>
                <w:bCs/>
                <w:color w:val="1F1F1F"/>
                <w:sz w:val="18"/>
                <w:szCs w:val="18"/>
              </w:rPr>
              <w:t xml:space="preserve">Competencia</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Software ERP de construcción tradicional (Procore, Buildertrend) y locales (Neodata, Opus). Despachos boutique de consultoría a PyME. Alquimia gana porque: ningún ERP tiene asesoría por voz; ninguna consultora tiene precio accesible para PyME; ningún software conecta diagnóstico con documentación operativa generada.</w:t>
            </w:r>
          </w:p>
        </w:tc>
      </w:tr>
    </w:tbl>
    <w:p>
      <w:pPr>
        <w:spacing w:after="60"/>
      </w:pPr>
      <w:r>
        <w:t xml:space="preserve"/>
      </w:r>
    </w:p>
    <w:p>
      <w:pPr>
        <w:pStyle w:val="Heading2"/>
        <w:spacing w:after="100" w:before="180"/>
      </w:pPr>
      <w:r>
        <w:rPr>
          <w:rFonts w:ascii="Arial" w:cs="Arial" w:eastAsia="Arial" w:hAnsi="Arial"/>
          <w:b/>
          <w:bCs/>
          <w:color w:val="2E75B6"/>
          <w:sz w:val="24"/>
          <w:szCs w:val="24"/>
        </w:rPr>
        <w:t xml:space="preserve">La asesoría por voz como capacidad central de la Fase 3</w:t>
      </w:r>
    </w:p>
    <w:p>
      <w:pPr>
        <w:spacing w:after="100" w:line="280"/>
        <w:jc w:val="both"/>
      </w:pPr>
      <w:r>
        <w:rPr>
          <w:b w:val="false"/>
          <w:bCs w:val="false"/>
          <w:i w:val="false"/>
          <w:iCs w:val="false"/>
          <w:color w:val="1F1F1F"/>
          <w:sz w:val="20"/>
          <w:szCs w:val="20"/>
        </w:rPr>
        <w:t xml:space="preserve">Esto merece sección propia porque es el diferenciador que define el producto. Mientras los ERPs tradicionales asumen que el cliente sabe llenar 40 formularios para empezar, Alquimia asume lo contrario: el dueño de PyME tiene la información en la cabeza pero no la quiere capturar tecleando. La voz colapsa la fricción de captura de 4 semanas a 45 minutos.</w:t>
      </w:r>
    </w:p>
    <w:p>
      <w:pPr>
        <w:spacing w:after="100" w:line="280"/>
        <w:jc w:val="both"/>
      </w:pPr>
      <w:r>
        <w:rPr>
          <w:b w:val="false"/>
          <w:bCs w:val="false"/>
          <w:i w:val="false"/>
          <w:iCs w:val="false"/>
          <w:color w:val="1F1F1F"/>
          <w:sz w:val="20"/>
          <w:szCs w:val="20"/>
        </w:rPr>
        <w:t xml:space="preserve">Técnicamente la voz tiene tres modos: tiempo real (Deepgram streaming + ElevenLabs streaming, latencia menor a 1.5 segundos, calidad de conversación humana), asíncrono batch (el dueño graba un audio de WhatsApp y la plataforma lo procesa con Whisper) y formulario de texto (fallback siempre disponible). Las tres modalidades producen el mismo Company Profile —un JSON estructurado que es la fuente única de verdad. La voz es la interfaz, no el sistema.</w:t>
      </w:r>
    </w:p>
    <w:p>
      <w:pPr>
        <w:spacing w:after="100" w:line="280"/>
        <w:jc w:val="both"/>
      </w:pPr>
      <w:r>
        <w:rPr>
          <w:b w:val="false"/>
          <w:bCs w:val="false"/>
          <w:i w:val="false"/>
          <w:iCs w:val="false"/>
          <w:color w:val="1F1F1F"/>
          <w:sz w:val="20"/>
          <w:szCs w:val="20"/>
        </w:rPr>
        <w:t xml:space="preserve">Más allá del onboarding inicial, la voz se usa después para: actualizar el Company Profile cuando cambian las condiciones ("este mes contraté 3 albañiles nuevos"), reportar avances desde el campo ("colamos la losa del nivel 2"), y entrevistar a empleados delegados por el dueño (cada empleado clave aporta su pedazo de la realidad, el sistema reconcilia y produce un "gap report" que un consultor tradicional cobraría carísimo).</w:t>
      </w:r>
    </w:p>
    <w:p>
      <w:r>
        <w:br w:type="page"/>
      </w:r>
    </w:p>
    <w:p>
      <w:pPr>
        <w:pStyle w:val="Heading1"/>
        <w:spacing w:after="120" w:before="240"/>
      </w:pPr>
      <w:r>
        <w:rPr>
          <w:rFonts w:ascii="Arial" w:cs="Arial" w:eastAsia="Arial" w:hAnsi="Arial"/>
          <w:b/>
          <w:bCs/>
          <w:color w:val="1F4E79"/>
          <w:sz w:val="30"/>
          <w:szCs w:val="30"/>
        </w:rPr>
        <w:t xml:space="preserve">Fase 4 · Empresarial expansión a otros sectores — Mes 14 al 28</w:t>
      </w:r>
    </w:p>
    <w:p>
      <w:pPr>
        <w:pBdr>
          <w:bottom w:val="single" w:color="1F4E79" w:sz="6" w:space="1"/>
        </w:pBdr>
        <w:spacing w:after="140" w:before="40"/>
      </w:pPr>
      <w:r>
        <w:t xml:space="preserve"/>
      </w:r>
    </w:p>
    <w:p>
      <w:pPr>
        <w:spacing w:after="100" w:line="280"/>
        <w:jc w:val="both"/>
      </w:pPr>
      <w:r>
        <w:rPr>
          <w:b w:val="false"/>
          <w:bCs w:val="false"/>
          <w:i w:val="false"/>
          <w:iCs w:val="false"/>
          <w:color w:val="1F1F1F"/>
          <w:sz w:val="20"/>
          <w:szCs w:val="20"/>
        </w:rPr>
        <w:t xml:space="preserve">Mismo motor de Empresarial, nuevos Sector Packs. Cada uno es un YAML de configuración (vocabulario, procesos canónicos, normativa, equipos, templates) más capacitación del socio profesional del sector. Construcción técnica menor —construcción de mercado mayor.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c>
          <w:tcPr>
            <w:tcW w:type="dxa" w:w="220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Sector</w:t>
            </w:r>
          </w:p>
        </w:tc>
        <w:tc>
          <w:tcPr>
            <w:tcW w:type="dxa" w:w="240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Qué resuelve</w:t>
            </w:r>
          </w:p>
        </w:tc>
        <w:tc>
          <w:tcPr>
            <w:tcW w:type="dxa" w:w="200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Precio (Pro mensual)</w:t>
            </w:r>
          </w:p>
        </w:tc>
        <w:tc>
          <w:tcPr>
            <w:tcW w:type="dxa" w:w="2760"/>
            <w:tcBorders>
              <w:top w:val="single" w:color="BFBFBF" w:sz="1"/>
              <w:left w:val="single" w:color="BFBFBF" w:sz="1"/>
              <w:bottom w:val="single" w:color="BFBFBF" w:sz="1"/>
              <w:right w:val="single" w:color="BFBFBF" w:sz="1"/>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Socio estratégico</w:t>
            </w:r>
          </w:p>
        </w:tc>
      </w:tr>
      <w:tr>
        <w:tc>
          <w:tcPr>
            <w:tcW w:type="dxa" w:w="22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color w:val="1F1F1F"/>
                <w:sz w:val="18"/>
                <w:szCs w:val="18"/>
              </w:rPr>
              <w:t xml:space="preserve">Transporte de carga</w:t>
            </w:r>
          </w:p>
        </w:tc>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CFDI con Carta Porte 3.1, gestión de flota, NOM-024 (fatiga), seguros.</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$3,500–$12,000 MXN</w:t>
            </w:r>
          </w:p>
        </w:tc>
        <w:tc>
          <w:tcPr>
            <w:tcW w:type="dxa" w:w="27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Ing. en Transporte o LAE con experiencia en operación logística. CANACAR.</w:t>
            </w:r>
          </w:p>
        </w:tc>
      </w:tr>
      <w:tr>
        <w:tc>
          <w:tcPr>
            <w:tcW w:type="dxa" w:w="22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color w:val="1F1F1F"/>
                <w:sz w:val="18"/>
                <w:szCs w:val="18"/>
              </w:rPr>
              <w:t xml:space="preserve">Manufactura ligera</w:t>
            </w:r>
          </w:p>
        </w:tc>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OEE, control estadístico de proceso, NOM-004-STPS, gestión de inventario.</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$4,000–$15,000 MXN</w:t>
            </w:r>
          </w:p>
        </w:tc>
        <w:tc>
          <w:tcPr>
            <w:tcW w:type="dxa" w:w="27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Ing. Industrial con experiencia Lean Manufacturing. CANACINTRA.</w:t>
            </w:r>
          </w:p>
        </w:tc>
      </w:tr>
      <w:tr>
        <w:tc>
          <w:tcPr>
            <w:tcW w:type="dxa" w:w="22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color w:val="1F1F1F"/>
                <w:sz w:val="18"/>
                <w:szCs w:val="18"/>
              </w:rPr>
              <w:t xml:space="preserve">Salud (clínicas, consultorios)</w:t>
            </w:r>
          </w:p>
        </w:tc>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RPBI (NOM-087), expediente clínico NOM-004-SSA, aviso COFEPRIS.</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$5,000–$18,000 MXN</w:t>
            </w:r>
          </w:p>
        </w:tc>
        <w:tc>
          <w:tcPr>
            <w:tcW w:type="dxa" w:w="27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Médico con maestría en administración de servicios de salud. Ex-COFEPRIS o ex-IMSS administrativo.</w:t>
            </w:r>
          </w:p>
        </w:tc>
      </w:tr>
      <w:tr>
        <w:tc>
          <w:tcPr>
            <w:tcW w:type="dxa" w:w="22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color w:val="1F1F1F"/>
                <w:sz w:val="18"/>
                <w:szCs w:val="18"/>
              </w:rPr>
              <w:t xml:space="preserve">Agroindustria</w:t>
            </w:r>
          </w:p>
        </w:tc>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BPA (Buenas Prácticas Agrícolas), trazabilidad SENASICA, NOM-059.</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$3,000–$11,000 MXN</w:t>
            </w:r>
          </w:p>
        </w:tc>
        <w:tc>
          <w:tcPr>
            <w:tcW w:type="dxa" w:w="27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Ing. Agrónomo o MVZ con experiencia en certificaciones. SAGARPA / SENASICA ex.</w:t>
            </w:r>
          </w:p>
        </w:tc>
      </w:tr>
      <w:tr>
        <w:tc>
          <w:tcPr>
            <w:tcW w:type="dxa" w:w="22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bCs/>
                <w:color w:val="1F1F1F"/>
                <w:sz w:val="18"/>
                <w:szCs w:val="18"/>
              </w:rPr>
              <w:t xml:space="preserve">Servicios profesionales</w:t>
            </w:r>
          </w:p>
        </w:tc>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Gestión por proyectos, facturación, propuestas técnico-económicas, NDA/SLA.</w:t>
            </w:r>
          </w:p>
        </w:tc>
        <w:tc>
          <w:tcPr>
            <w:tcW w:type="dxa" w:w="200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$2,000–$8,000 MXN</w:t>
            </w:r>
          </w:p>
        </w:tc>
        <w:tc>
          <w:tcPr>
            <w:tcW w:type="dxa" w:w="27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LAE o LIN con experiencia en operación de despachos profesionales.</w:t>
            </w:r>
          </w:p>
        </w:tc>
      </w:tr>
    </w:tbl>
    <w:p>
      <w:pPr>
        <w:spacing w:after="60"/>
      </w:pPr>
      <w:r>
        <w:t xml:space="preserve"/>
      </w:r>
    </w:p>
    <w:p>
      <w:pPr>
        <w:spacing w:after="100" w:line="280"/>
        <w:jc w:val="both"/>
      </w:pPr>
      <w:r>
        <w:rPr>
          <w:b/>
          <w:bCs/>
          <w:i w:val="false"/>
          <w:iCs w:val="false"/>
          <w:color w:val="1F4E79"/>
          <w:sz w:val="20"/>
          <w:szCs w:val="20"/>
        </w:rPr>
        <w:t xml:space="preserve">CAPEX promedio por Sector Pack nuevo en Fase 4: </w:t>
      </w:r>
      <w:r>
        <w:rPr>
          <w:color w:val="1F1F1F"/>
          <w:sz w:val="20"/>
          <w:szCs w:val="20"/>
        </w:rPr>
        <w:t xml:space="preserve">$60,000–$140,000 MXN. La curva de aprendizaje del motor ya ocurrió en Fase 3 —el costo marginal de un sector nuevo baja conforme más se agregan.</w:t>
      </w:r>
    </w:p>
    <w:p>
      <w:pPr>
        <w:spacing w:after="60"/>
      </w:pPr>
      <w:r>
        <w:t xml:space="preserve"/>
      </w:r>
    </w:p>
    <w:p>
      <w:pPr>
        <w:pStyle w:val="Heading1"/>
        <w:spacing w:after="120" w:before="240"/>
      </w:pPr>
      <w:r>
        <w:rPr>
          <w:rFonts w:ascii="Arial" w:cs="Arial" w:eastAsia="Arial" w:hAnsi="Arial"/>
          <w:b/>
          <w:bCs/>
          <w:color w:val="1F4E79"/>
          <w:sz w:val="30"/>
          <w:szCs w:val="30"/>
        </w:rPr>
        <w:t xml:space="preserve">Fase 5 · Supermind — Mes 24 al 36+ (el ERP con agentes embebidos)</w:t>
      </w:r>
    </w:p>
    <w:p>
      <w:pPr>
        <w:pBdr>
          <w:bottom w:val="single" w:color="1F4E79" w:sz="6" w:space="1"/>
        </w:pBdr>
        <w:spacing w:after="140" w:before="40"/>
      </w:pPr>
      <w:r>
        <w:t xml:space="preserve"/>
      </w:r>
    </w:p>
    <w:p>
      <w:pPr>
        <w:spacing w:after="100" w:line="280"/>
        <w:jc w:val="both"/>
      </w:pPr>
      <w:r>
        <w:rPr>
          <w:b w:val="false"/>
          <w:bCs w:val="false"/>
          <w:i w:val="false"/>
          <w:iCs w:val="false"/>
          <w:color w:val="1F1F1F"/>
          <w:sz w:val="20"/>
          <w:szCs w:val="20"/>
        </w:rPr>
        <w:t xml:space="preserve">La convergencia. Cada empresa que pasó por Alquimia Empresarial dejó documentado su organigrama, sus procesos, sus indicadores, sus dolores y sus equipos. Supermind toma ese rastro y lo convierte en un ERP modular vivo —pero no como migración (los ERPs tradicionales tardan 12 meses en implementarse). Supermind emerge de los datos que la empresa ya capturó. No hay día cero. Hay continuación.</w:t>
      </w:r>
    </w:p>
    <w:p>
      <w:pPr>
        <w:spacing w:after="100" w:line="280"/>
        <w:jc w:val="both"/>
      </w:pPr>
      <w:r>
        <w:rPr>
          <w:b w:val="false"/>
          <w:bCs w:val="false"/>
          <w:i w:val="false"/>
          <w:iCs w:val="false"/>
          <w:color w:val="1F1F1F"/>
          <w:sz w:val="20"/>
          <w:szCs w:val="20"/>
        </w:rPr>
        <w:t xml:space="preserve">El diferenciador clave es que cada función del ERP tiene un agente especializado trabajando en background. El agente de RH monitorea vencimientos IMSS, genera documentos STPS, sugiere ajustes de nómina. El agente financiero detecta desviaciones de presupuesto, proyecta flujo de caja, alerta facturas próximas a vencer. El agente de operaciones rastrea el avance contra cronograma y actualiza PERTs. Estos agentes no toman decisiones —recomiendan, alertan y preparan documentación. El humano decide; pero llega a la decisión con toda la información ya procesada.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jc w:val="left"/>
            </w:pPr>
            <w:r>
              <w:rPr>
                <w:rFonts w:ascii="Arial" w:cs="Arial" w:eastAsia="Arial" w:hAnsi="Arial"/>
                <w:b/>
                <w:bCs/>
                <w:color w:val="1F1F1F"/>
                <w:sz w:val="18"/>
                <w:szCs w:val="18"/>
              </w:rPr>
              <w:t xml:space="preserve">Modelo de cobro</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Suscripción mensual escalonada por número de empleados activos + módulos del ERP activados. Sin licenciamiento por usuario tipo Salesforce (que crea anti-incentivos).</w:t>
            </w:r>
          </w:p>
        </w:tc>
      </w:tr>
      <w:tr>
        <w:tc>
          <w:tcPr>
            <w:tcW w:type="dxa" w:w="2200"/>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jc w:val="left"/>
            </w:pPr>
            <w:r>
              <w:rPr>
                <w:rFonts w:ascii="Arial" w:cs="Arial" w:eastAsia="Arial" w:hAnsi="Arial"/>
                <w:b/>
                <w:bCs/>
                <w:color w:val="1F1F1F"/>
                <w:sz w:val="18"/>
                <w:szCs w:val="18"/>
              </w:rPr>
              <w:t xml:space="preserve">Precio (mercado)</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$25,000–$120,000 MXN/mes según tamaño y módulos. Comparable: SAP B1 cuesta $80K/mes + $1.5M de implementación inicial. Oracle NetSuite arranca en $45K/mes con setup de $600K.</w:t>
            </w:r>
          </w:p>
        </w:tc>
      </w:tr>
      <w:tr>
        <w:tc>
          <w:tcPr>
            <w:tcW w:type="dxa" w:w="2200"/>
            <w:tcBorders>
              <w:top w:val="single" w:color="BFBFBF" w:sz="1"/>
              <w:left w:val="single" w:color="BFBFBF" w:sz="1"/>
              <w:bottom w:val="single" w:color="BFBFBF" w:sz="1"/>
              <w:right w:val="single" w:color="BFBFBF" w:sz="1"/>
            </w:tcBorders>
            <w:shd w:fill="EAF2F8" w:val="clear"/>
            <w:tcMar>
              <w:top w:type="dxa" w:w="80"/>
              <w:left w:type="dxa" w:w="100"/>
              <w:bottom w:type="dxa" w:w="80"/>
              <w:right w:type="dxa" w:w="100"/>
            </w:tcMar>
          </w:tcPr>
          <w:p>
            <w:pPr>
              <w:jc w:val="left"/>
            </w:pPr>
            <w:r>
              <w:rPr>
                <w:rFonts w:ascii="Arial" w:cs="Arial" w:eastAsia="Arial" w:hAnsi="Arial"/>
                <w:b/>
                <w:bCs/>
                <w:color w:val="1F1F1F"/>
                <w:sz w:val="18"/>
                <w:szCs w:val="18"/>
              </w:rPr>
              <w:t xml:space="preserve">CAPEX construcción</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$800,000–$1,800,000 MXN para construir los módulos del ERP (RH, Finanzas, Proyectos avanzado, Inventario, Comercial) más los Migration Copilots para CONTPAQi, Aspel, QuickBooks y SAP B1.</w:t>
            </w:r>
          </w:p>
        </w:tc>
      </w:tr>
      <w:tr>
        <w:tc>
          <w:tcPr>
            <w:tcW w:type="dxa" w:w="2200"/>
            <w:tcBorders>
              <w:top w:val="single" w:color="BFBFBF" w:sz="1"/>
              <w:left w:val="single" w:color="BFBFBF" w:sz="1"/>
              <w:bottom w:val="single" w:color="BFBFBF" w:sz="1"/>
              <w:right w:val="single" w:color="BFBFBF" w:sz="1"/>
            </w:tcBorders>
            <w:shd w:fill="FFF2CC" w:val="clear"/>
            <w:tcMar>
              <w:top w:type="dxa" w:w="80"/>
              <w:left w:type="dxa" w:w="100"/>
              <w:bottom w:type="dxa" w:w="80"/>
              <w:right w:type="dxa" w:w="100"/>
            </w:tcMar>
          </w:tcPr>
          <w:p>
            <w:pPr>
              <w:jc w:val="left"/>
            </w:pPr>
            <w:r>
              <w:rPr>
                <w:rFonts w:ascii="Arial" w:cs="Arial" w:eastAsia="Arial" w:hAnsi="Arial"/>
                <w:b/>
                <w:bCs/>
                <w:color w:val="1F1F1F"/>
                <w:sz w:val="18"/>
                <w:szCs w:val="18"/>
              </w:rPr>
              <w:t xml:space="preserve">Socio estratégico</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Director técnico con experiencia en arquitectura ERP. Ex-implementador SAP B1 o NetSuite + experiencia con startups SaaS. Reclutar en: ex-Oracle, ex-SAP partners (CompuSoluciones, Praxis), ex-Salesforce Mexico.</w:t>
            </w:r>
          </w:p>
        </w:tc>
      </w:tr>
      <w:tr>
        <w:tc>
          <w:tcPr>
            <w:tcW w:type="dxa" w:w="2200"/>
            <w:tcBorders>
              <w:top w:val="single" w:color="BFBFBF" w:sz="1"/>
              <w:left w:val="single" w:color="BFBFBF" w:sz="1"/>
              <w:bottom w:val="single" w:color="BFBFBF" w:sz="1"/>
              <w:right w:val="single" w:color="BFBFBF" w:sz="1"/>
            </w:tcBorders>
            <w:shd w:fill="FCF8E3" w:val="clear"/>
            <w:tcMar>
              <w:top w:type="dxa" w:w="80"/>
              <w:left w:type="dxa" w:w="100"/>
              <w:bottom w:type="dxa" w:w="80"/>
              <w:right w:type="dxa" w:w="100"/>
            </w:tcMar>
          </w:tcPr>
          <w:p>
            <w:pPr>
              <w:jc w:val="left"/>
            </w:pPr>
            <w:r>
              <w:rPr>
                <w:rFonts w:ascii="Arial" w:cs="Arial" w:eastAsia="Arial" w:hAnsi="Arial"/>
                <w:b/>
                <w:bCs/>
                <w:color w:val="1F1F1F"/>
                <w:sz w:val="18"/>
                <w:szCs w:val="18"/>
              </w:rPr>
              <w:t xml:space="preserve">Competencia</w:t>
            </w:r>
          </w:p>
        </w:tc>
        <w:tc>
          <w:tcPr>
            <w:tcW w:type="dxa" w:w="7160"/>
            <w:tcBorders>
              <w:top w:val="single" w:color="BFBFBF" w:sz="1"/>
              <w:left w:val="single" w:color="BFBFBF" w:sz="1"/>
              <w:bottom w:val="single" w:color="BFBFBF" w:sz="1"/>
              <w:right w:val="single" w:color="BFBFBF" w:sz="1"/>
            </w:tcBorders>
            <w:tcMar>
              <w:top w:type="dxa" w:w="80"/>
              <w:left w:type="dxa" w:w="100"/>
              <w:bottom w:type="dxa" w:w="80"/>
              <w:right w:type="dxa" w:w="100"/>
            </w:tcMar>
          </w:tcPr>
          <w:p>
            <w:pPr>
              <w:jc w:val="left"/>
            </w:pPr>
            <w:r>
              <w:rPr>
                <w:rFonts w:ascii="Arial" w:cs="Arial" w:eastAsia="Arial" w:hAnsi="Arial"/>
                <w:b w:val="false"/>
                <w:bCs w:val="false"/>
                <w:color w:val="1F1F1F"/>
                <w:sz w:val="18"/>
                <w:szCs w:val="18"/>
              </w:rPr>
              <w:t xml:space="preserve">SAP B1, Oracle NetSuite, Microsoft Dynamics, CONTPAQi/Aspel locales. Alquimia gana porque: emerge de los datos del cliente (no migración); precio 50–80% menor; setup en semanas vs 12 meses; agentes embebidos sin costo adicional; modelo compositivo permite activar solo lo que el cliente necesita.</w:t>
            </w:r>
          </w:p>
        </w:tc>
      </w:tr>
    </w:tbl>
    <w:p>
      <w:pPr>
        <w:spacing w:after="60"/>
      </w:pPr>
      <w:r>
        <w:t xml:space="preserve"/>
      </w:r>
    </w:p>
    <w:p>
      <w:pPr>
        <w:pStyle w:val="Heading1"/>
        <w:spacing w:after="120" w:before="240"/>
      </w:pPr>
      <w:r>
        <w:rPr>
          <w:rFonts w:ascii="Arial" w:cs="Arial" w:eastAsia="Arial" w:hAnsi="Arial"/>
          <w:b/>
          <w:bCs/>
          <w:color w:val="1F4E79"/>
          <w:sz w:val="30"/>
          <w:szCs w:val="30"/>
        </w:rPr>
        <w:t xml:space="preserve">Trayectoria del crecimiento — cómo cada fase alimenta a la siguiente</w:t>
      </w:r>
    </w:p>
    <w:p>
      <w:pPr>
        <w:pBdr>
          <w:bottom w:val="single" w:color="1F4E79" w:sz="6" w:space="1"/>
        </w:pBdr>
        <w:spacing w:after="140" w:before="40"/>
      </w:pPr>
      <w:r>
        <w:t xml:space="preserve"/>
      </w:r>
    </w:p>
    <w:p>
      <w:pPr>
        <w:spacing w:after="100" w:line="280"/>
        <w:jc w:val="both"/>
      </w:pPr>
      <w:r>
        <w:rPr>
          <w:b w:val="false"/>
          <w:bCs w:val="false"/>
          <w:i w:val="false"/>
          <w:iCs w:val="false"/>
          <w:color w:val="1F1F1F"/>
          <w:sz w:val="20"/>
          <w:szCs w:val="20"/>
        </w:rPr>
        <w:t xml:space="preserve">Cada fase financia a la siguiente. Los contratos de GOV de Fase 1 y 2 generan revenue para construir Fase 3 sin levantar capital externo. La base de clientes Empresariales de Fases 3 y 4 produce los datos operativos que hacen viable Supermind. Y Supermind cierra el ciclo: una vez que el ERP está operando en cientos de empresas, los datos agregados (anonimizados) alimentan los benchmarks que mejoran la consultoría de Alquimia GOV y Empresarial. El sistema se vuelve mejor mientras más se usa.</w:t>
      </w:r>
    </w:p>
    <w:p>
      <w:pPr>
        <w:spacing w:after="100" w:line="280"/>
        <w:jc w:val="both"/>
      </w:pPr>
      <w:r>
        <w:rPr>
          <w:b w:val="false"/>
          <w:bCs w:val="false"/>
          <w:i w:val="false"/>
          <w:iCs w:val="false"/>
          <w:color w:val="1F1F1F"/>
          <w:sz w:val="20"/>
          <w:szCs w:val="20"/>
        </w:rPr>
        <w:t xml:space="preserve">El moat compuesto que emerge tras 36 meses tiene tres capas. La capa de datos: el grafo cross-tenant de procesos, indicadores y resultados es único en el mercado latinoamericano. La capa de switching cost: una empresa que tiene su organigrama, sus SOPs, su compliance y sus indicadores en Alquimia paga más en tiempo y riesgo por irse que por quedarse. La capa de red: cuando empresa A y su proveedor B están en Alquimia, sus agentes saben hablarse desde el primer día, generando valor que solo escala con adopción.</w:t>
      </w:r>
    </w:p>
    <w:p>
      <w:pPr>
        <w:spacing w:after="120" w:line="280"/>
        <w:jc w:val="both"/>
      </w:pPr>
      <w:r>
        <w:rPr>
          <w:i/>
          <w:iCs/>
          <w:color w:val="595959"/>
          <w:sz w:val="18"/>
          <w:szCs w:val="18"/>
        </w:rPr>
        <w:t xml:space="preserve">Notas sobre los rangos de precios: valores basados en consultoría/SaaS tradicional comparable en México 2026. Para fases 3 a 5 se asumen condiciones de validación de mercado típicas para tickets PyME. Los rangos de Fase 1 (GOV) se calibran contra licitaciones públicas SEMARNAT/BANOBRAS observables.</w:t>
      </w:r>
    </w:p>
    <w:p>
      <w:pPr>
        <w:spacing w:after="60"/>
      </w:pPr>
      <w:r>
        <w:t xml:space="preserve"/>
      </w:r>
    </w:p>
    <w:p>
      <w:pPr>
        <w:spacing w:before="200"/>
        <w:jc w:val="center"/>
      </w:pPr>
      <w:r>
        <w:rPr>
          <w:rFonts w:ascii="Arial" w:cs="Arial" w:eastAsia="Arial" w:hAnsi="Arial"/>
          <w:i/>
          <w:iCs/>
          <w:color w:val="808080"/>
          <w:sz w:val="14"/>
          <w:szCs w:val="14"/>
        </w:rPr>
        <w:t xml:space="preserve">alquimiaplatform.com  ·  Roadmap de Evolución  ·  Uso interno  ·  Confidencial  ·  Mayo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4"/>
        <w:szCs w:val="14"/>
      </w:rPr>
      <w:t xml:space="preserve">Página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de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4"/>
        <w:szCs w:val="14"/>
      </w:rPr>
      <w:t xml:space="preserve">Alquimia · Supermind  ·  Roadmap de Evolución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2026-05-31T04:09:56.850Z</dcterms:created>
  <dcterms:modified xsi:type="dcterms:W3CDTF">2026-05-31T04:09:56.850Z</dcterms:modified>
</cp:coreProperties>
</file>

<file path=docProps/custom.xml><?xml version="1.0" encoding="utf-8"?>
<Properties xmlns="http://schemas.openxmlformats.org/officeDocument/2006/custom-properties" xmlns:vt="http://schemas.openxmlformats.org/officeDocument/2006/docPropsVTypes"/>
</file>