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r>
        <w:rPr>
          <w:rFonts w:ascii="Arial" w:cs="Arial" w:eastAsia="Arial" w:hAnsi="Arial"/>
          <w:b/>
          <w:bCs/>
          <w:color w:val="1a1a1a"/>
          <w:sz w:val="84"/>
          <w:szCs w:val="84"/>
        </w:rPr>
        <w:t xml:space="preserve">ALQUIMIA</w:t>
      </w:r>
    </w:p>
    <w:p>
      <w:pPr>
        <w:pBdr>
          <w:bottom w:val="single" w:color="1a1a1a" w:sz="12" w:space="1"/>
        </w:pBdr>
        <w:spacing w:before="720"/>
      </w:pPr>
      <w:r>
        <w:t xml:space="preserve"/>
      </w:r>
    </w:p>
    <w:p>
      <w:pPr>
        <w:spacing w:before="720"/>
      </w:pPr>
      <w:r>
        <w:rPr>
          <w:rFonts w:ascii="Arial" w:cs="Arial" w:eastAsia="Arial" w:hAnsi="Arial"/>
          <w:b/>
          <w:bCs/>
          <w:color w:val="1a1a1a"/>
          <w:sz w:val="44"/>
          <w:szCs w:val="44"/>
        </w:rPr>
        <w:t xml:space="preserve">Plan Maestro de Implementación</w:t>
      </w:r>
    </w:p>
    <w:p>
      <w:pPr>
        <w:spacing w:before="120"/>
      </w:pPr>
      <w:r>
        <w:rPr>
          <w:rFonts w:ascii="Arial" w:cs="Arial" w:eastAsia="Arial" w:hAnsi="Arial"/>
          <w:color w:val="555555"/>
          <w:sz w:val="22"/>
          <w:szCs w:val="22"/>
        </w:rPr>
        <w:t xml:space="preserve">Programa Municipal de Gestión Integral de Residuos Sólidos Urbanos</w:t>
      </w:r>
    </w:p>
    <w:p>
      <w:pPr>
        <w:spacing w:before="720"/>
      </w:pPr>
      <w:r>
        <w:rPr>
          <w:rFonts w:ascii="Arial" w:cs="Arial" w:eastAsia="Arial" w:hAnsi="Arial"/>
          <w:color w:val="1a1a1a"/>
          <w:sz w:val="28"/>
          <w:szCs w:val="28"/>
        </w:rPr>
        <w:t xml:space="preserve">[MUNICIPIO], [ESTADO]</w:t>
      </w:r>
    </w:p>
    <w:p>
      <w:pPr>
        <w:spacing w:before="30"/>
      </w:pPr>
      <w:r>
        <w:rPr>
          <w:rFonts w:ascii="Arial" w:cs="Arial" w:eastAsia="Arial" w:hAnsi="Arial"/>
          <w:color w:val="666666"/>
          <w:sz w:val="18"/>
          <w:szCs w:val="18"/>
        </w:rPr>
        <w:t xml:space="preserve">Administración [PERIODO] · Versión [VERSION] · [FECHA]</w:t>
      </w:r>
    </w:p>
    <w:p>
      <w:r>
        <w:br w:type="page"/>
      </w:r>
    </w:p>
    <w:p>
      <w:pPr>
        <w:pStyle w:val="Heading1"/>
        <w:spacing w:after="240" w:before="480"/>
      </w:pPr>
      <w:r>
        <w:rPr>
          <w:rFonts w:ascii="Arial" w:cs="Arial" w:eastAsia="Arial" w:hAnsi="Arial"/>
          <w:b/>
          <w:bCs/>
          <w:color w:val="1a1a1a"/>
          <w:sz w:val="36"/>
          <w:szCs w:val="36"/>
        </w:rPr>
        <w:t xml:space="preserve">Índice</w:t>
      </w:r>
    </w:p>
    <w:p>
      <w:pPr>
        <w:spacing w:after="120" w:before="120"/>
      </w:pPr>
      <w:r>
        <w:rPr>
          <w:rFonts w:ascii="Arial" w:cs="Arial" w:eastAsia="Arial" w:hAnsi="Arial"/>
          <w:color w:val="333333"/>
          <w:sz w:val="22"/>
          <w:szCs w:val="22"/>
        </w:rPr>
        <w:t xml:space="preserve">1. Resumen Ejecutivo</w:t>
      </w:r>
    </w:p>
    <w:p>
      <w:pPr>
        <w:spacing w:after="120" w:before="120"/>
      </w:pPr>
      <w:r>
        <w:rPr>
          <w:rFonts w:ascii="Arial" w:cs="Arial" w:eastAsia="Arial" w:hAnsi="Arial"/>
          <w:color w:val="333333"/>
          <w:sz w:val="22"/>
          <w:szCs w:val="22"/>
        </w:rPr>
        <w:t xml:space="preserve">2. Antecedentes del Plan Maestro</w:t>
      </w:r>
    </w:p>
    <w:p>
      <w:pPr>
        <w:spacing w:after="120" w:before="120"/>
      </w:pPr>
      <w:r>
        <w:rPr>
          <w:rFonts w:ascii="Arial" w:cs="Arial" w:eastAsia="Arial" w:hAnsi="Arial"/>
          <w:color w:val="333333"/>
          <w:sz w:val="22"/>
          <w:szCs w:val="22"/>
        </w:rPr>
        <w:t xml:space="preserve">3. Cronograma general (Gantt)</w:t>
      </w:r>
    </w:p>
    <w:p>
      <w:pPr>
        <w:spacing w:after="120" w:before="120"/>
      </w:pPr>
      <w:r>
        <w:rPr>
          <w:rFonts w:ascii="Arial" w:cs="Arial" w:eastAsia="Arial" w:hAnsi="Arial"/>
          <w:color w:val="333333"/>
          <w:sz w:val="22"/>
          <w:szCs w:val="22"/>
        </w:rPr>
        <w:t xml:space="preserve">4. Componentes operativos</w:t>
      </w:r>
    </w:p>
    <w:p>
      <w:pPr>
        <w:spacing w:after="120" w:before="120"/>
      </w:pPr>
      <w:r>
        <w:rPr>
          <w:rFonts w:ascii="Arial" w:cs="Arial" w:eastAsia="Arial" w:hAnsi="Arial"/>
          <w:color w:val="333333"/>
          <w:sz w:val="22"/>
          <w:szCs w:val="22"/>
        </w:rPr>
        <w:t xml:space="preserve">5. Infraestructura propuesta</w:t>
      </w:r>
    </w:p>
    <w:p>
      <w:pPr>
        <w:spacing w:after="120" w:before="120"/>
      </w:pPr>
      <w:r>
        <w:rPr>
          <w:rFonts w:ascii="Arial" w:cs="Arial" w:eastAsia="Arial" w:hAnsi="Arial"/>
          <w:color w:val="333333"/>
          <w:sz w:val="22"/>
          <w:szCs w:val="22"/>
        </w:rPr>
        <w:t xml:space="preserve">6. Estructura organizacional</w:t>
      </w:r>
    </w:p>
    <w:p>
      <w:pPr>
        <w:spacing w:after="120" w:before="120"/>
      </w:pPr>
      <w:r>
        <w:rPr>
          <w:rFonts w:ascii="Arial" w:cs="Arial" w:eastAsia="Arial" w:hAnsi="Arial"/>
          <w:color w:val="333333"/>
          <w:sz w:val="22"/>
          <w:szCs w:val="22"/>
        </w:rPr>
        <w:t xml:space="preserve">7. Presupuesto del programa</w:t>
      </w:r>
    </w:p>
    <w:p>
      <w:pPr>
        <w:spacing w:after="120" w:before="120"/>
      </w:pPr>
      <w:r>
        <w:rPr>
          <w:rFonts w:ascii="Arial" w:cs="Arial" w:eastAsia="Arial" w:hAnsi="Arial"/>
          <w:color w:val="333333"/>
          <w:sz w:val="22"/>
          <w:szCs w:val="22"/>
        </w:rPr>
        <w:t xml:space="preserve">8. Mercado de materiales valorizables</w:t>
      </w:r>
    </w:p>
    <w:p>
      <w:pPr>
        <w:spacing w:after="120" w:before="120"/>
      </w:pPr>
      <w:r>
        <w:rPr>
          <w:rFonts w:ascii="Arial" w:cs="Arial" w:eastAsia="Arial" w:hAnsi="Arial"/>
          <w:color w:val="333333"/>
          <w:sz w:val="22"/>
          <w:szCs w:val="22"/>
        </w:rPr>
        <w:t xml:space="preserve">9. Estructura financiera y de gobernanza</w:t>
      </w:r>
    </w:p>
    <w:p>
      <w:pPr>
        <w:spacing w:after="120" w:before="120"/>
      </w:pPr>
      <w:r>
        <w:rPr>
          <w:rFonts w:ascii="Arial" w:cs="Arial" w:eastAsia="Arial" w:hAnsi="Arial"/>
          <w:color w:val="333333"/>
          <w:sz w:val="22"/>
          <w:szCs w:val="22"/>
        </w:rPr>
        <w:t xml:space="preserve">10. Hitos y entregables</w:t>
      </w:r>
    </w:p>
    <w:p>
      <w:pPr>
        <w:spacing w:after="120" w:before="120"/>
      </w:pPr>
      <w:r>
        <w:rPr>
          <w:rFonts w:ascii="Arial" w:cs="Arial" w:eastAsia="Arial" w:hAnsi="Arial"/>
          <w:color w:val="333333"/>
          <w:sz w:val="22"/>
          <w:szCs w:val="22"/>
        </w:rPr>
        <w:t xml:space="preserve">11. Plan de comunicación</w:t>
      </w:r>
    </w:p>
    <w:p>
      <w:pPr>
        <w:spacing w:after="120" w:before="120"/>
      </w:pPr>
      <w:r>
        <w:rPr>
          <w:rFonts w:ascii="Arial" w:cs="Arial" w:eastAsia="Arial" w:hAnsi="Arial"/>
          <w:color w:val="333333"/>
          <w:sz w:val="22"/>
          <w:szCs w:val="22"/>
        </w:rPr>
        <w:t xml:space="preserve">12. Bibliografía y anexos</w:t>
      </w:r>
    </w:p>
    <w:p>
      <w:r>
        <w:br w:type="page"/>
      </w:r>
    </w:p>
    <w:p>
      <w:pPr>
        <w:pStyle w:val="Heading1"/>
        <w:spacing w:after="240" w:before="480"/>
      </w:pPr>
      <w:r>
        <w:rPr>
          <w:rFonts w:ascii="Arial" w:cs="Arial" w:eastAsia="Arial" w:hAnsi="Arial"/>
          <w:b/>
          <w:bCs/>
          <w:color w:val="1a1a1a"/>
          <w:sz w:val="36"/>
          <w:szCs w:val="36"/>
        </w:rPr>
        <w:t xml:space="preserve">1. Resumen Ejecutivo</w:t>
      </w:r>
    </w:p>
    <w:p>
      <w:pPr>
        <w:pStyle w:val="Heading3"/>
        <w:spacing w:after="120" w:before="240"/>
      </w:pPr>
      <w:r>
        <w:rPr>
          <w:rFonts w:ascii="Arial" w:cs="Arial" w:eastAsia="Arial" w:hAnsi="Arial"/>
          <w:b/>
          <w:bCs/>
          <w:color w:val="333333"/>
          <w:sz w:val="22"/>
          <w:szCs w:val="22"/>
        </w:rPr>
        <w:t xml:space="preserve">Qué es este documento</w:t>
      </w:r>
    </w:p>
    <w:p>
      <w:pPr>
        <w:spacing w:after="120" w:before="120"/>
      </w:pPr>
      <w:r>
        <w:rPr>
          <w:rFonts w:ascii="Arial" w:cs="Arial" w:eastAsia="Arial" w:hAnsi="Arial"/>
          <w:color w:val="333333"/>
          <w:sz w:val="22"/>
          <w:szCs w:val="22"/>
        </w:rPr>
        <w:t xml:space="preserve">Este Plan Maestro convierte las decisiones aprobadas por el Cabildo de [MUNICIPIO] durante la fase de Validación (Tier Diagnóstico) en un plan operativo ejecutable. El documento responde a la pregunta: ¿qué hacemos exactamente durante los próximos 24 meses para implementar la reforma reglamentaria y el programa de circularidad aprobados?</w:t>
      </w:r>
    </w:p>
    <w:p>
      <w:pPr>
        <w:pStyle w:val="Heading3"/>
        <w:spacing w:after="120" w:before="240"/>
      </w:pPr>
      <w:r>
        <w:rPr>
          <w:rFonts w:ascii="Arial" w:cs="Arial" w:eastAsia="Arial" w:hAnsi="Arial"/>
          <w:b/>
          <w:bCs/>
          <w:color w:val="333333"/>
          <w:sz w:val="22"/>
          <w:szCs w:val="22"/>
        </w:rPr>
        <w:t xml:space="preserve">Estructura del programa</w:t>
      </w:r>
    </w:p>
    <w:p>
      <w:pPr>
        <w:spacing w:after="120" w:before="120"/>
      </w:pPr>
      <w:r>
        <w:rPr>
          <w:rFonts w:ascii="Arial" w:cs="Arial" w:eastAsia="Arial" w:hAnsi="Arial"/>
          <w:color w:val="333333"/>
          <w:sz w:val="22"/>
          <w:szCs w:val="22"/>
        </w:rPr>
        <w:t xml:space="preserve">El programa se ejecuta en 24 meses divididos en tres fases consecutivas: arranque (meses 1-6), operación piloto (meses 7-18), y consolidación (meses 19-24). Cada fase con sus hitos específicos y criterios de cierre verificables.</w:t>
      </w:r>
    </w:p>
    <w:p>
      <w:pPr>
        <w:pStyle w:val="Heading3"/>
        <w:spacing w:after="120" w:before="240"/>
      </w:pPr>
      <w:r>
        <w:rPr>
          <w:rFonts w:ascii="Arial" w:cs="Arial" w:eastAsia="Arial" w:hAnsi="Arial"/>
          <w:b/>
          <w:bCs/>
          <w:color w:val="333333"/>
          <w:sz w:val="22"/>
          <w:szCs w:val="22"/>
        </w:rPr>
        <w:t xml:space="preserve">Inversión total y origen de fondos</w:t>
      </w:r>
    </w:p>
    <w:p>
      <w:pPr>
        <w:spacing w:after="120" w:before="120"/>
      </w:pPr>
      <w:r>
        <w:rPr>
          <w:rFonts w:ascii="Arial" w:cs="Arial" w:eastAsia="Arial" w:hAnsi="Arial"/>
          <w:color w:val="333333"/>
          <w:sz w:val="22"/>
          <w:szCs w:val="22"/>
        </w:rPr>
        <w:t xml:space="preserve">La inversión total proyectada del programa es de [INVERSION_TOTAL] pesos, distribuida según el escenario aprobado por el Ayuntamiento. El origen de fondos se compone de: presupuesto municipal asignado, posible financiamiento de banca de desarrollo (NAFIN/BANOBRAS), y aportaciones del concesionario en su caso.</w:t>
      </w:r>
    </w:p>
    <w:p>
      <w:r>
        <w:br w:type="page"/>
      </w:r>
    </w:p>
    <w:p>
      <w:pPr>
        <w:pStyle w:val="Heading1"/>
        <w:spacing w:after="240" w:before="480"/>
      </w:pPr>
      <w:r>
        <w:rPr>
          <w:rFonts w:ascii="Arial" w:cs="Arial" w:eastAsia="Arial" w:hAnsi="Arial"/>
          <w:b/>
          <w:bCs/>
          <w:color w:val="1a1a1a"/>
          <w:sz w:val="36"/>
          <w:szCs w:val="36"/>
        </w:rPr>
        <w:t xml:space="preserve">2. Antecedentes del Plan Maestro</w:t>
      </w:r>
    </w:p>
    <w:p>
      <w:pPr>
        <w:pStyle w:val="Heading2"/>
        <w:spacing w:after="180" w:before="360"/>
      </w:pPr>
      <w:r>
        <w:rPr>
          <w:rFonts w:ascii="Arial" w:cs="Arial" w:eastAsia="Arial" w:hAnsi="Arial"/>
          <w:b/>
          <w:bCs/>
          <w:color w:val="1a1a1a"/>
          <w:sz w:val="26"/>
          <w:szCs w:val="26"/>
        </w:rPr>
        <w:t xml:space="preserve">2.1 Continuidad desde el Tier Diagnóstico</w:t>
      </w:r>
    </w:p>
    <w:p>
      <w:pPr>
        <w:spacing w:after="120" w:before="120"/>
      </w:pPr>
      <w:r>
        <w:rPr>
          <w:rFonts w:ascii="Arial" w:cs="Arial" w:eastAsia="Arial" w:hAnsi="Arial"/>
          <w:color w:val="333333"/>
          <w:sz w:val="22"/>
          <w:szCs w:val="22"/>
        </w:rPr>
        <w:t xml:space="preserve">Este Plan Maestro toma como base el Expediente de Diagnóstico aprobado por el H. Ayuntamiento de [MUNICIPIO] el [FECHA_APROBACION_DIAGNOSTICO], y la reforma reglamentaria publicada en el Periódico Oficial del Estado el [FECHA_PUBLICACION_REFORMA]. Estos documentos forman el fundamento institucional sobre el cual se construye el plan operativo presente.</w:t>
      </w:r>
    </w:p>
    <w:p>
      <w:pPr>
        <w:pStyle w:val="Heading2"/>
        <w:spacing w:after="180" w:before="360"/>
      </w:pPr>
      <w:r>
        <w:rPr>
          <w:rFonts w:ascii="Arial" w:cs="Arial" w:eastAsia="Arial" w:hAnsi="Arial"/>
          <w:b/>
          <w:bCs/>
          <w:color w:val="1a1a1a"/>
          <w:sz w:val="26"/>
          <w:szCs w:val="26"/>
        </w:rPr>
        <w:t xml:space="preserve">2.2 Marco normativo aplicable</w:t>
      </w:r>
    </w:p>
    <w:p>
      <w:pPr>
        <w:spacing w:after="120" w:before="120"/>
      </w:pPr>
      <w:r>
        <w:rPr>
          <w:rFonts w:ascii="Arial" w:cs="Arial" w:eastAsia="Arial" w:hAnsi="Arial"/>
          <w:color w:val="333333"/>
          <w:sz w:val="22"/>
          <w:szCs w:val="22"/>
        </w:rPr>
        <w:t xml:space="preserve">La operación del programa se rige por el Reglamento de Limpia reformado, la LGPGIR federal, la ley estatal aplicable, las normas oficiales mexicanas NOM-083, NOM-098 y NOM-161, y las normas técnicas NMX-AA-015, NMX-AA-019, NMX-AA-022, NMX-AA-061 y NMX-AA-091.</w:t>
      </w:r>
    </w:p>
    <w:p>
      <w:r>
        <w:br w:type="page"/>
      </w:r>
    </w:p>
    <w:p>
      <w:pPr>
        <w:pStyle w:val="Heading1"/>
        <w:spacing w:after="240" w:before="480"/>
      </w:pPr>
      <w:r>
        <w:rPr>
          <w:rFonts w:ascii="Arial" w:cs="Arial" w:eastAsia="Arial" w:hAnsi="Arial"/>
          <w:b/>
          <w:bCs/>
          <w:color w:val="1a1a1a"/>
          <w:sz w:val="36"/>
          <w:szCs w:val="36"/>
        </w:rPr>
        <w:t xml:space="preserve">3. Cronograma general</w:t>
      </w:r>
    </w:p>
    <w:p>
      <w:pPr>
        <w:pStyle w:val="Heading2"/>
        <w:spacing w:after="180" w:before="360"/>
      </w:pPr>
      <w:r>
        <w:rPr>
          <w:rFonts w:ascii="Arial" w:cs="Arial" w:eastAsia="Arial" w:hAnsi="Arial"/>
          <w:b/>
          <w:bCs/>
          <w:color w:val="1a1a1a"/>
          <w:sz w:val="26"/>
          <w:szCs w:val="26"/>
        </w:rPr>
        <w:t xml:space="preserve">3.1 Estructura temporal</w:t>
      </w:r>
    </w:p>
    <w:p>
      <w:pPr>
        <w:spacing w:after="120" w:before="120"/>
      </w:pPr>
      <w:r>
        <w:rPr>
          <w:rFonts w:ascii="Arial" w:cs="Arial" w:eastAsia="Arial" w:hAnsi="Arial"/>
          <w:color w:val="333333"/>
          <w:sz w:val="22"/>
          <w:szCs w:val="22"/>
        </w:rPr>
        <w:t xml:space="preserve">El programa se ejecuta en 24 meses calendario. La fase de arranque abarca los meses 1 al 6 con preparación operativa, contratación de personal, adecuación de infraestructura y campaña inicial de comunicación. La fase de operación piloto va de los meses 7 al 18 con implementación en territorio. La fase de consolidación cubre los meses 19 al 24 con escalamiento progresivo y transición a operación regular.</w:t>
      </w:r>
    </w:p>
    <w:p>
      <w:pPr>
        <w:pStyle w:val="Heading2"/>
        <w:spacing w:after="180" w:before="360"/>
      </w:pPr>
      <w:r>
        <w:rPr>
          <w:rFonts w:ascii="Arial" w:cs="Arial" w:eastAsia="Arial" w:hAnsi="Arial"/>
          <w:b/>
          <w:bCs/>
          <w:color w:val="1a1a1a"/>
          <w:sz w:val="26"/>
          <w:szCs w:val="26"/>
        </w:rPr>
        <w:t xml:space="preserve">3.2 Hitos críticos del programa</w:t>
      </w:r>
    </w:p>
    <w:p>
      <w:pPr>
        <w:spacing w:after="120" w:before="120"/>
      </w:pPr>
      <w:r>
        <w:rPr>
          <w:rFonts w:ascii="Arial" w:cs="Arial" w:eastAsia="Arial" w:hAnsi="Arial"/>
          <w:color w:val="333333"/>
          <w:sz w:val="22"/>
          <w:szCs w:val="22"/>
        </w:rPr>
        <w:t xml:space="preserve">Los hitos críticos que el Comité de Seguimiento debe revisar trimestralmente son: cierre de contrataciones de personal (mes 3), inicio de operación piloto (mes 7), primera medición de cumplimiento con NMX-AA-015 (mes 12), evaluación de medio término (mes 18) y cierre de consolidación (mes 24).</w:t>
      </w:r>
    </w:p>
    <w:p>
      <w:pPr>
        <w:pStyle w:val="Heading2"/>
        <w:spacing w:after="180" w:before="360"/>
      </w:pPr>
      <w:r>
        <w:rPr>
          <w:rFonts w:ascii="Arial" w:cs="Arial" w:eastAsia="Arial" w:hAnsi="Arial"/>
          <w:b/>
          <w:bCs/>
          <w:color w:val="1a1a1a"/>
          <w:sz w:val="26"/>
          <w:szCs w:val="26"/>
        </w:rPr>
        <w:t xml:space="preserve">3.3 Diagrama Gantt</w:t>
      </w:r>
    </w:p>
    <w:p>
      <w:pPr>
        <w:spacing w:after="120" w:before="120"/>
      </w:pPr>
      <w:r>
        <w:rPr>
          <w:rFonts w:ascii="Arial" w:cs="Arial" w:eastAsia="Arial" w:hAnsi="Arial"/>
          <w:color w:val="333333"/>
          <w:sz w:val="22"/>
          <w:szCs w:val="22"/>
        </w:rPr>
        <w:t xml:space="preserve">El diagrama Gantt completo del programa se incluye como Anexo M y se genera dinámicamente con datos del tenant. Cada actividad lleva su responsable asignado, duración estimada y dependencias con otras actividades.</w:t>
      </w:r>
    </w:p>
    <w:p>
      <w:r>
        <w:br w:type="page"/>
      </w:r>
    </w:p>
    <w:p>
      <w:pPr>
        <w:pStyle w:val="Heading1"/>
        <w:spacing w:after="240" w:before="480"/>
      </w:pPr>
      <w:r>
        <w:rPr>
          <w:rFonts w:ascii="Arial" w:cs="Arial" w:eastAsia="Arial" w:hAnsi="Arial"/>
          <w:b/>
          <w:bCs/>
          <w:color w:val="1a1a1a"/>
          <w:sz w:val="36"/>
          <w:szCs w:val="36"/>
        </w:rPr>
        <w:t xml:space="preserve">4. Componentes operativos</w:t>
      </w:r>
    </w:p>
    <w:p>
      <w:pPr>
        <w:pStyle w:val="Heading2"/>
        <w:spacing w:after="180" w:before="360"/>
      </w:pPr>
      <w:r>
        <w:rPr>
          <w:rFonts w:ascii="Arial" w:cs="Arial" w:eastAsia="Arial" w:hAnsi="Arial"/>
          <w:b/>
          <w:bCs/>
          <w:color w:val="1a1a1a"/>
          <w:sz w:val="26"/>
          <w:szCs w:val="26"/>
        </w:rPr>
        <w:t xml:space="preserve">4.1 Separación en origen</w:t>
      </w:r>
    </w:p>
    <w:p>
      <w:pPr>
        <w:spacing w:after="120" w:before="120"/>
      </w:pPr>
      <w:r>
        <w:rPr>
          <w:rFonts w:ascii="Arial" w:cs="Arial" w:eastAsia="Arial" w:hAnsi="Arial"/>
          <w:color w:val="333333"/>
          <w:sz w:val="22"/>
          <w:szCs w:val="22"/>
        </w:rPr>
        <w:t xml:space="preserve">El componente de separación en origen es la base operativa del programa. Implica que todos los generadores domiciliarios, comerciales e institucionales en la zona piloto separen sus residuos en al menos las cinco fracciones establecidas en el reglamento reformado: orgánicos, papel y cartón, plásticos, vidrio y metales. El no-valorizable se entrega como sexta fracción.</w:t>
      </w:r>
    </w:p>
    <w:p>
      <w:pPr>
        <w:pStyle w:val="Heading2"/>
        <w:spacing w:after="180" w:before="360"/>
      </w:pPr>
      <w:r>
        <w:rPr>
          <w:rFonts w:ascii="Arial" w:cs="Arial" w:eastAsia="Arial" w:hAnsi="Arial"/>
          <w:b/>
          <w:bCs/>
          <w:color w:val="1a1a1a"/>
          <w:sz w:val="26"/>
          <w:szCs w:val="26"/>
        </w:rPr>
        <w:t xml:space="preserve">4.2 Recolección diferenciada</w:t>
      </w:r>
    </w:p>
    <w:p>
      <w:pPr>
        <w:spacing w:after="120" w:before="120"/>
      </w:pPr>
      <w:r>
        <w:rPr>
          <w:rFonts w:ascii="Arial" w:cs="Arial" w:eastAsia="Arial" w:hAnsi="Arial"/>
          <w:color w:val="333333"/>
          <w:sz w:val="22"/>
          <w:szCs w:val="22"/>
        </w:rPr>
        <w:t xml:space="preserve">La recolección diferenciada respeta la separación en origen mediante rutas y horarios específicos por fracción o sistema mixto con compartimentos diferenciados en los vehículos. La modalidad específica se determina con base en el análisis de costo-eficiencia para [MUNICIPIO].</w:t>
      </w:r>
    </w:p>
    <w:p>
      <w:pPr>
        <w:pStyle w:val="Heading2"/>
        <w:spacing w:after="180" w:before="360"/>
      </w:pPr>
      <w:r>
        <w:rPr>
          <w:rFonts w:ascii="Arial" w:cs="Arial" w:eastAsia="Arial" w:hAnsi="Arial"/>
          <w:b/>
          <w:bCs/>
          <w:color w:val="1a1a1a"/>
          <w:sz w:val="26"/>
          <w:szCs w:val="26"/>
        </w:rPr>
        <w:t xml:space="preserve">4.3 Transferencia y acopio</w:t>
      </w:r>
    </w:p>
    <w:p>
      <w:pPr>
        <w:spacing w:after="120" w:before="120"/>
      </w:pPr>
      <w:r>
        <w:rPr>
          <w:rFonts w:ascii="Arial" w:cs="Arial" w:eastAsia="Arial" w:hAnsi="Arial"/>
          <w:color w:val="333333"/>
          <w:sz w:val="22"/>
          <w:szCs w:val="22"/>
        </w:rPr>
        <w:t xml:space="preserve">La fase de transferencia y acopio agrupa los flujos recolectados antes de su entrega final a la cadena de valorización. La infraestructura específica se detalla en la sección 5 de este Plan Maestro.</w:t>
      </w:r>
    </w:p>
    <w:p>
      <w:pPr>
        <w:pStyle w:val="Heading2"/>
        <w:spacing w:after="180" w:before="360"/>
      </w:pPr>
      <w:r>
        <w:rPr>
          <w:rFonts w:ascii="Arial" w:cs="Arial" w:eastAsia="Arial" w:hAnsi="Arial"/>
          <w:b/>
          <w:bCs/>
          <w:color w:val="1a1a1a"/>
          <w:sz w:val="26"/>
          <w:szCs w:val="26"/>
        </w:rPr>
        <w:t xml:space="preserve">4.4 Valorización final</w:t>
      </w:r>
    </w:p>
    <w:p>
      <w:pPr>
        <w:spacing w:after="120" w:before="120"/>
      </w:pPr>
      <w:r>
        <w:rPr>
          <w:rFonts w:ascii="Arial" w:cs="Arial" w:eastAsia="Arial" w:hAnsi="Arial"/>
          <w:color w:val="333333"/>
          <w:sz w:val="22"/>
          <w:szCs w:val="22"/>
        </w:rPr>
        <w:t xml:space="preserve">La valorización final se realiza mediante convenios con recicladoras formales del mercado regional, descritas en la sección 8. El componente de aprovechamiento energético se evalúa en escenarios específicos cuando el volumen y la composición lo justifican.</w:t>
      </w:r>
    </w:p>
    <w:p>
      <w:r>
        <w:br w:type="page"/>
      </w:r>
    </w:p>
    <w:p>
      <w:pPr>
        <w:pStyle w:val="Heading1"/>
        <w:spacing w:after="240" w:before="480"/>
      </w:pPr>
      <w:r>
        <w:rPr>
          <w:rFonts w:ascii="Arial" w:cs="Arial" w:eastAsia="Arial" w:hAnsi="Arial"/>
          <w:b/>
          <w:bCs/>
          <w:color w:val="1a1a1a"/>
          <w:sz w:val="36"/>
          <w:szCs w:val="36"/>
        </w:rPr>
        <w:t xml:space="preserve">5. Infraestructura propuesta</w:t>
      </w:r>
    </w:p>
    <w:p>
      <w:pPr>
        <w:pStyle w:val="Heading2"/>
        <w:spacing w:after="180" w:before="360"/>
      </w:pPr>
      <w:r>
        <w:rPr>
          <w:rFonts w:ascii="Arial" w:cs="Arial" w:eastAsia="Arial" w:hAnsi="Arial"/>
          <w:b/>
          <w:bCs/>
          <w:color w:val="1a1a1a"/>
          <w:sz w:val="26"/>
          <w:szCs w:val="26"/>
        </w:rPr>
        <w:t xml:space="preserve">5.1 Centros de acopio</w:t>
      </w:r>
    </w:p>
    <w:p>
      <w:pPr>
        <w:spacing w:after="120" w:before="120"/>
      </w:pPr>
      <w:r>
        <w:rPr>
          <w:rFonts w:ascii="Arial" w:cs="Arial" w:eastAsia="Arial" w:hAnsi="Arial"/>
          <w:color w:val="333333"/>
          <w:sz w:val="22"/>
          <w:szCs w:val="22"/>
        </w:rPr>
        <w:t xml:space="preserve">El programa contempla [N_CENTROS_ACOPIO] centros de acopio distribuidos en el territorio del municipio. La ubicación específica se determina con base en la densidad poblacional, accesibilidad vial y disponibilidad de predios municipales. El detalle por centro se incluye en el Anexo N.</w:t>
      </w:r>
    </w:p>
    <w:p>
      <w:pPr>
        <w:pStyle w:val="Heading2"/>
        <w:spacing w:after="180" w:before="360"/>
      </w:pPr>
      <w:r>
        <w:rPr>
          <w:rFonts w:ascii="Arial" w:cs="Arial" w:eastAsia="Arial" w:hAnsi="Arial"/>
          <w:b/>
          <w:bCs/>
          <w:color w:val="1a1a1a"/>
          <w:sz w:val="26"/>
          <w:szCs w:val="26"/>
        </w:rPr>
        <w:t xml:space="preserve">5.2 Vehículos de recolección</w:t>
      </w:r>
    </w:p>
    <w:p>
      <w:pPr>
        <w:spacing w:after="120" w:before="120"/>
      </w:pPr>
      <w:r>
        <w:rPr>
          <w:rFonts w:ascii="Arial" w:cs="Arial" w:eastAsia="Arial" w:hAnsi="Arial"/>
          <w:color w:val="333333"/>
          <w:sz w:val="22"/>
          <w:szCs w:val="22"/>
        </w:rPr>
        <w:t xml:space="preserve">La flota de recolección requerida para el programa consta de [N_VEHICULOS_NUEVOS] vehículos adicionales o adaptados, según se determine en el análisis técnico de la sección 7. Las especificaciones de cada vehículo respetan las normas aplicables y las características operativas del municipio.</w:t>
      </w:r>
    </w:p>
    <w:p>
      <w:pPr>
        <w:pStyle w:val="Heading2"/>
        <w:spacing w:after="180" w:before="360"/>
      </w:pPr>
      <w:r>
        <w:rPr>
          <w:rFonts w:ascii="Arial" w:cs="Arial" w:eastAsia="Arial" w:hAnsi="Arial"/>
          <w:b/>
          <w:bCs/>
          <w:color w:val="1a1a1a"/>
          <w:sz w:val="26"/>
          <w:szCs w:val="26"/>
        </w:rPr>
        <w:t xml:space="preserve">5.3 Equipo de transferencia</w:t>
      </w:r>
    </w:p>
    <w:p>
      <w:pPr>
        <w:spacing w:after="120" w:before="120"/>
      </w:pPr>
      <w:r>
        <w:rPr>
          <w:rFonts w:ascii="Arial" w:cs="Arial" w:eastAsia="Arial" w:hAnsi="Arial"/>
          <w:color w:val="333333"/>
          <w:sz w:val="22"/>
          <w:szCs w:val="22"/>
        </w:rPr>
        <w:t xml:space="preserve">El equipo de transferencia (compactadores, prensas, balanzas) requerido para los centros de acopio se detalla en el Anexo O con sus especificaciones técnicas y costos de adquisición.</w:t>
      </w:r>
    </w:p>
    <w:p>
      <w:r>
        <w:br w:type="page"/>
      </w:r>
    </w:p>
    <w:p>
      <w:pPr>
        <w:pStyle w:val="Heading1"/>
        <w:spacing w:after="240" w:before="480"/>
      </w:pPr>
      <w:r>
        <w:rPr>
          <w:rFonts w:ascii="Arial" w:cs="Arial" w:eastAsia="Arial" w:hAnsi="Arial"/>
          <w:b/>
          <w:bCs/>
          <w:color w:val="1a1a1a"/>
          <w:sz w:val="36"/>
          <w:szCs w:val="36"/>
        </w:rPr>
        <w:t xml:space="preserve">6. Estructura organizacional</w:t>
      </w:r>
    </w:p>
    <w:p>
      <w:pPr>
        <w:pStyle w:val="Heading2"/>
        <w:spacing w:after="180" w:before="360"/>
      </w:pPr>
      <w:r>
        <w:rPr>
          <w:rFonts w:ascii="Arial" w:cs="Arial" w:eastAsia="Arial" w:hAnsi="Arial"/>
          <w:b/>
          <w:bCs/>
          <w:color w:val="1a1a1a"/>
          <w:sz w:val="26"/>
          <w:szCs w:val="26"/>
        </w:rPr>
        <w:t xml:space="preserve">6.1 Organigrama operativo</w:t>
      </w:r>
    </w:p>
    <w:p>
      <w:pPr>
        <w:spacing w:after="120" w:before="120"/>
      </w:pPr>
      <w:r>
        <w:rPr>
          <w:rFonts w:ascii="Arial" w:cs="Arial" w:eastAsia="Arial" w:hAnsi="Arial"/>
          <w:color w:val="333333"/>
          <w:sz w:val="22"/>
          <w:szCs w:val="22"/>
        </w:rPr>
        <w:t xml:space="preserve">El programa opera bajo la Dirección de Servicios Públicos del Municipio, con coordinación específica del Programa de Circularidad reportando directamente al Director. La estructura completa con número de personal por área se incluye en el Anexo P.</w:t>
      </w:r>
    </w:p>
    <w:p>
      <w:pPr>
        <w:pStyle w:val="Heading2"/>
        <w:spacing w:after="180" w:before="360"/>
      </w:pPr>
      <w:r>
        <w:rPr>
          <w:rFonts w:ascii="Arial" w:cs="Arial" w:eastAsia="Arial" w:hAnsi="Arial"/>
          <w:b/>
          <w:bCs/>
          <w:color w:val="1a1a1a"/>
          <w:sz w:val="26"/>
          <w:szCs w:val="26"/>
        </w:rPr>
        <w:t xml:space="preserve">6.2 Personal requerido</w:t>
      </w:r>
    </w:p>
    <w:p>
      <w:pPr>
        <w:spacing w:after="120" w:before="120"/>
      </w:pPr>
      <w:r>
        <w:rPr>
          <w:rFonts w:ascii="Arial" w:cs="Arial" w:eastAsia="Arial" w:hAnsi="Arial"/>
          <w:color w:val="333333"/>
          <w:sz w:val="22"/>
          <w:szCs w:val="22"/>
        </w:rPr>
        <w:t xml:space="preserve">El personal total requerido para la operación del programa asciende a [N_PERSONAL_TOTAL] personas distribuidas entre coordinación, operación de recolección, operación de centros de acopio, y administración. Los perfiles específicos por puesto se detallan en el manual de organización adjunto.</w:t>
      </w:r>
    </w:p>
    <w:p>
      <w:pPr>
        <w:pStyle w:val="Heading2"/>
        <w:spacing w:after="180" w:before="360"/>
      </w:pPr>
      <w:r>
        <w:rPr>
          <w:rFonts w:ascii="Arial" w:cs="Arial" w:eastAsia="Arial" w:hAnsi="Arial"/>
          <w:b/>
          <w:bCs/>
          <w:color w:val="1a1a1a"/>
          <w:sz w:val="26"/>
          <w:szCs w:val="26"/>
        </w:rPr>
        <w:t xml:space="preserve">6.3 Turnos y horarios</w:t>
      </w:r>
    </w:p>
    <w:p>
      <w:pPr>
        <w:spacing w:after="120" w:before="120"/>
      </w:pPr>
      <w:r>
        <w:rPr>
          <w:rFonts w:ascii="Arial" w:cs="Arial" w:eastAsia="Arial" w:hAnsi="Arial"/>
          <w:color w:val="333333"/>
          <w:sz w:val="22"/>
          <w:szCs w:val="22"/>
        </w:rPr>
        <w:t xml:space="preserve">La operación se organiza en [N_TURNOS] turnos diarios con cobertura de [HORAS_COBERTURA] horas. El calendario específico por zona se ajusta a las características del territorio.</w:t>
      </w:r>
    </w:p>
    <w:p>
      <w:r>
        <w:br w:type="page"/>
      </w:r>
    </w:p>
    <w:p>
      <w:pPr>
        <w:pStyle w:val="Heading1"/>
        <w:spacing w:after="240" w:before="480"/>
      </w:pPr>
      <w:r>
        <w:rPr>
          <w:rFonts w:ascii="Arial" w:cs="Arial" w:eastAsia="Arial" w:hAnsi="Arial"/>
          <w:b/>
          <w:bCs/>
          <w:color w:val="1a1a1a"/>
          <w:sz w:val="36"/>
          <w:szCs w:val="36"/>
        </w:rPr>
        <w:t xml:space="preserve">7. Presupuesto del programa</w:t>
      </w:r>
    </w:p>
    <w:p>
      <w:pPr>
        <w:pStyle w:val="Heading2"/>
        <w:spacing w:after="180" w:before="360"/>
      </w:pPr>
      <w:r>
        <w:rPr>
          <w:rFonts w:ascii="Arial" w:cs="Arial" w:eastAsia="Arial" w:hAnsi="Arial"/>
          <w:b/>
          <w:bCs/>
          <w:color w:val="1a1a1a"/>
          <w:sz w:val="26"/>
          <w:szCs w:val="26"/>
        </w:rPr>
        <w:t xml:space="preserve">7.1 CAPEX</w:t>
      </w:r>
    </w:p>
    <w:p>
      <w:pPr>
        <w:spacing w:after="120" w:before="120"/>
      </w:pPr>
      <w:r>
        <w:rPr>
          <w:rFonts w:ascii="Arial" w:cs="Arial" w:eastAsia="Arial" w:hAnsi="Arial"/>
          <w:color w:val="333333"/>
          <w:sz w:val="22"/>
          <w:szCs w:val="22"/>
        </w:rPr>
        <w:t xml:space="preserve">La inversión inicial CAPEX se desglosa en infraestructura ([CAPEX_INFRA] pesos), vehículos ([CAPEX_VEHICULOS] pesos), equipo ([CAPEX_EQUIPO] pesos) y contingencia ([CAPEX_CONTINGENCIA] pesos). Total CAPEX: [CAPEX_TOTAL] pesos.</w:t>
      </w:r>
    </w:p>
    <w:p>
      <w:pPr>
        <w:pStyle w:val="Heading2"/>
        <w:spacing w:after="180" w:before="360"/>
      </w:pPr>
      <w:r>
        <w:rPr>
          <w:rFonts w:ascii="Arial" w:cs="Arial" w:eastAsia="Arial" w:hAnsi="Arial"/>
          <w:b/>
          <w:bCs/>
          <w:color w:val="1a1a1a"/>
          <w:sz w:val="26"/>
          <w:szCs w:val="26"/>
        </w:rPr>
        <w:t xml:space="preserve">7.2 OPEX anual</w:t>
      </w:r>
    </w:p>
    <w:p>
      <w:pPr>
        <w:spacing w:after="120" w:before="120"/>
      </w:pPr>
      <w:r>
        <w:rPr>
          <w:rFonts w:ascii="Arial" w:cs="Arial" w:eastAsia="Arial" w:hAnsi="Arial"/>
          <w:color w:val="333333"/>
          <w:sz w:val="22"/>
          <w:szCs w:val="22"/>
        </w:rPr>
        <w:t xml:space="preserve">La operación anual del programa requiere OPEX de [OPEX_ANUAL] pesos compuesto por nómina, combustibles, mantenimiento, insumos operativos y servicios administrativos. El detalle se presenta en el Anexo Q.</w:t>
      </w:r>
    </w:p>
    <w:p>
      <w:pPr>
        <w:pStyle w:val="Heading2"/>
        <w:spacing w:after="180" w:before="360"/>
      </w:pPr>
      <w:r>
        <w:rPr>
          <w:rFonts w:ascii="Arial" w:cs="Arial" w:eastAsia="Arial" w:hAnsi="Arial"/>
          <w:b/>
          <w:bCs/>
          <w:color w:val="1a1a1a"/>
          <w:sz w:val="26"/>
          <w:szCs w:val="26"/>
        </w:rPr>
        <w:t xml:space="preserve">7.3 Ingresos proyectados</w:t>
      </w:r>
    </w:p>
    <w:p>
      <w:pPr>
        <w:spacing w:after="120" w:before="120"/>
      </w:pPr>
      <w:r>
        <w:rPr>
          <w:rFonts w:ascii="Arial" w:cs="Arial" w:eastAsia="Arial" w:hAnsi="Arial"/>
          <w:color w:val="333333"/>
          <w:sz w:val="22"/>
          <w:szCs w:val="22"/>
        </w:rPr>
        <w:t xml:space="preserve">Los ingresos proyectados del programa incluyen venta de materiales valorizables a recicladoras, en su caso aprovechamiento energético, y eventualmente ingresos por bonos de carbono si se documenta la reducción de emisiones de metano. Los flujos se proyectan por escenario en la sección 9.</w:t>
      </w:r>
    </w:p>
    <w:p>
      <w:r>
        <w:br w:type="page"/>
      </w:r>
    </w:p>
    <w:p>
      <w:pPr>
        <w:pStyle w:val="Heading1"/>
        <w:spacing w:after="240" w:before="480"/>
      </w:pPr>
      <w:r>
        <w:rPr>
          <w:rFonts w:ascii="Arial" w:cs="Arial" w:eastAsia="Arial" w:hAnsi="Arial"/>
          <w:b/>
          <w:bCs/>
          <w:color w:val="1a1a1a"/>
          <w:sz w:val="36"/>
          <w:szCs w:val="36"/>
        </w:rPr>
        <w:t xml:space="preserve">8. Mercado de materiales valorizables</w:t>
      </w:r>
    </w:p>
    <w:p>
      <w:pPr>
        <w:pStyle w:val="Heading2"/>
        <w:spacing w:after="180" w:before="360"/>
      </w:pPr>
      <w:r>
        <w:rPr>
          <w:rFonts w:ascii="Arial" w:cs="Arial" w:eastAsia="Arial" w:hAnsi="Arial"/>
          <w:b/>
          <w:bCs/>
          <w:color w:val="1a1a1a"/>
          <w:sz w:val="26"/>
          <w:szCs w:val="26"/>
        </w:rPr>
        <w:t xml:space="preserve">8.1 Recicladoras y compradores en la región</w:t>
      </w:r>
    </w:p>
    <w:p>
      <w:pPr>
        <w:spacing w:after="120" w:before="120"/>
      </w:pPr>
      <w:r>
        <w:rPr>
          <w:rFonts w:ascii="Arial" w:cs="Arial" w:eastAsia="Arial" w:hAnsi="Arial"/>
          <w:color w:val="333333"/>
          <w:sz w:val="22"/>
          <w:szCs w:val="22"/>
        </w:rPr>
        <w:t xml:space="preserve">El mercado regional de materiales valorizables incluye recicladoras formales con capacidad de absorción del flujo proyectado del programa. El listado de actores se compila en el Anexo R con su capacidad declarada, modalidad de compra y precios referenciales.</w:t>
      </w:r>
    </w:p>
    <w:p>
      <w:pPr>
        <w:pStyle w:val="Heading2"/>
        <w:spacing w:after="180" w:before="360"/>
      </w:pPr>
      <w:r>
        <w:rPr>
          <w:rFonts w:ascii="Arial" w:cs="Arial" w:eastAsia="Arial" w:hAnsi="Arial"/>
          <w:b/>
          <w:bCs/>
          <w:color w:val="1a1a1a"/>
          <w:sz w:val="26"/>
          <w:szCs w:val="26"/>
        </w:rPr>
        <w:t xml:space="preserve">8.2 Precios referenciales por fracción</w:t>
      </w:r>
    </w:p>
    <w:p>
      <w:pPr>
        <w:spacing w:after="120" w:before="120"/>
      </w:pPr>
      <w:r>
        <w:rPr>
          <w:rFonts w:ascii="Arial" w:cs="Arial" w:eastAsia="Arial" w:hAnsi="Arial"/>
          <w:color w:val="333333"/>
          <w:sz w:val="22"/>
          <w:szCs w:val="22"/>
        </w:rPr>
        <w:t xml:space="preserve">Los precios de los materiales valorizables se obtienen de fuentes de mercado verificables. Cada precio en el cálculo financiero del programa lleva su cita verificable a la fuente.</w:t>
      </w:r>
    </w:p>
    <w:p>
      <w:r>
        <w:br w:type="page"/>
      </w:r>
    </w:p>
    <w:p>
      <w:pPr>
        <w:pStyle w:val="Heading1"/>
        <w:spacing w:after="240" w:before="480"/>
      </w:pPr>
      <w:r>
        <w:rPr>
          <w:rFonts w:ascii="Arial" w:cs="Arial" w:eastAsia="Arial" w:hAnsi="Arial"/>
          <w:b/>
          <w:bCs/>
          <w:color w:val="1a1a1a"/>
          <w:sz w:val="36"/>
          <w:szCs w:val="36"/>
        </w:rPr>
        <w:t xml:space="preserve">9. Estructura financiera y de gobernanza</w:t>
      </w:r>
    </w:p>
    <w:p>
      <w:pPr>
        <w:pStyle w:val="Heading2"/>
        <w:spacing w:after="180" w:before="360"/>
      </w:pPr>
      <w:r>
        <w:rPr>
          <w:rFonts w:ascii="Arial" w:cs="Arial" w:eastAsia="Arial" w:hAnsi="Arial"/>
          <w:b/>
          <w:bCs/>
          <w:color w:val="1a1a1a"/>
          <w:sz w:val="26"/>
          <w:szCs w:val="26"/>
        </w:rPr>
        <w:t xml:space="preserve">9.1 Origen de fondos</w:t>
      </w:r>
    </w:p>
    <w:p>
      <w:pPr>
        <w:spacing w:after="120" w:before="120"/>
      </w:pPr>
      <w:r>
        <w:rPr>
          <w:rFonts w:ascii="Arial" w:cs="Arial" w:eastAsia="Arial" w:hAnsi="Arial"/>
          <w:color w:val="333333"/>
          <w:sz w:val="22"/>
          <w:szCs w:val="22"/>
        </w:rPr>
        <w:t xml:space="preserve">La estructura financiera del programa combina recursos municipales propios, posible financiamiento de banca de desarrollo (NAFIN, BANOBRAS) bajo modalidades verdes, y aportaciones del concesionario en su caso. La proporción específica se ajusta al escenario aprobado por el Ayuntamiento.</w:t>
      </w:r>
    </w:p>
    <w:p>
      <w:pPr>
        <w:pStyle w:val="Heading2"/>
        <w:spacing w:after="180" w:before="360"/>
      </w:pPr>
      <w:r>
        <w:rPr>
          <w:rFonts w:ascii="Arial" w:cs="Arial" w:eastAsia="Arial" w:hAnsi="Arial"/>
          <w:b/>
          <w:bCs/>
          <w:color w:val="1a1a1a"/>
          <w:sz w:val="26"/>
          <w:szCs w:val="26"/>
        </w:rPr>
        <w:t xml:space="preserve">9.2 Modelo de concesión o gestión</w:t>
      </w:r>
    </w:p>
    <w:p>
      <w:pPr>
        <w:spacing w:after="120" w:before="120"/>
      </w:pPr>
      <w:r>
        <w:rPr>
          <w:rFonts w:ascii="Arial" w:cs="Arial" w:eastAsia="Arial" w:hAnsi="Arial"/>
          <w:color w:val="333333"/>
          <w:sz w:val="22"/>
          <w:szCs w:val="22"/>
        </w:rPr>
        <w:t xml:space="preserve">La modalidad de operación del programa puede ser pública directa, concesionada total o parcialmente, o mixta. El Plan Maestro propone la modalidad [MODALIDAD_PROPUESTA] con base en el análisis financiero comparativo del Anexo S.</w:t>
      </w:r>
    </w:p>
    <w:p>
      <w:pPr>
        <w:pStyle w:val="Heading2"/>
        <w:spacing w:after="180" w:before="360"/>
      </w:pPr>
      <w:r>
        <w:rPr>
          <w:rFonts w:ascii="Arial" w:cs="Arial" w:eastAsia="Arial" w:hAnsi="Arial"/>
          <w:b/>
          <w:bCs/>
          <w:color w:val="1a1a1a"/>
          <w:sz w:val="26"/>
          <w:szCs w:val="26"/>
        </w:rPr>
        <w:t xml:space="preserve">9.3 Comité de Seguimiento</w:t>
      </w:r>
    </w:p>
    <w:p>
      <w:pPr>
        <w:spacing w:after="120" w:before="120"/>
      </w:pPr>
      <w:r>
        <w:rPr>
          <w:rFonts w:ascii="Arial" w:cs="Arial" w:eastAsia="Arial" w:hAnsi="Arial"/>
          <w:color w:val="333333"/>
          <w:sz w:val="22"/>
          <w:szCs w:val="22"/>
        </w:rPr>
        <w:t xml:space="preserve">El Comité de Seguimiento del Programa sesiona trimestralmente con representación del Cabildo, Dirección de Servicios Públicos, organizaciones de la sociedad civil, sector privado y la Plataforma Alquimia como acompañante metodológico. Las sesiones quedan documentadas en actas formales.</w:t>
      </w:r>
    </w:p>
    <w:p>
      <w:r>
        <w:br w:type="page"/>
      </w:r>
    </w:p>
    <w:p>
      <w:pPr>
        <w:pStyle w:val="Heading1"/>
        <w:spacing w:after="240" w:before="480"/>
      </w:pPr>
      <w:r>
        <w:rPr>
          <w:rFonts w:ascii="Arial" w:cs="Arial" w:eastAsia="Arial" w:hAnsi="Arial"/>
          <w:b/>
          <w:bCs/>
          <w:color w:val="1a1a1a"/>
          <w:sz w:val="36"/>
          <w:szCs w:val="36"/>
        </w:rPr>
        <w:t xml:space="preserve">10. Hitos y entregables</w:t>
      </w:r>
    </w:p>
    <w:p>
      <w:pPr>
        <w:pStyle w:val="Heading2"/>
        <w:spacing w:after="180" w:before="360"/>
      </w:pPr>
      <w:r>
        <w:rPr>
          <w:rFonts w:ascii="Arial" w:cs="Arial" w:eastAsia="Arial" w:hAnsi="Arial"/>
          <w:b/>
          <w:bCs/>
          <w:color w:val="1a1a1a"/>
          <w:sz w:val="26"/>
          <w:szCs w:val="26"/>
        </w:rPr>
        <w:t xml:space="preserve">10.1 Hitos verificables</w:t>
      </w:r>
    </w:p>
    <w:p>
      <w:pPr>
        <w:spacing w:after="120" w:before="120"/>
      </w:pPr>
      <w:r>
        <w:rPr>
          <w:rFonts w:ascii="Arial" w:cs="Arial" w:eastAsia="Arial" w:hAnsi="Arial"/>
          <w:color w:val="333333"/>
          <w:sz w:val="22"/>
          <w:szCs w:val="22"/>
        </w:rPr>
        <w:t xml:space="preserve">Los hitos verificables del programa, con responsable asignado y fecha de cierre, se documentan en el Anexo T. Cada hito tiene su criterio binario de cumplimiento.</w:t>
      </w:r>
    </w:p>
    <w:p>
      <w:pPr>
        <w:pStyle w:val="Heading2"/>
        <w:spacing w:after="180" w:before="360"/>
      </w:pPr>
      <w:r>
        <w:rPr>
          <w:rFonts w:ascii="Arial" w:cs="Arial" w:eastAsia="Arial" w:hAnsi="Arial"/>
          <w:b/>
          <w:bCs/>
          <w:color w:val="1a1a1a"/>
          <w:sz w:val="26"/>
          <w:szCs w:val="26"/>
        </w:rPr>
        <w:t xml:space="preserve">10.2 Entregables al Comité de Seguimiento</w:t>
      </w:r>
    </w:p>
    <w:p>
      <w:pPr>
        <w:spacing w:after="120" w:before="120"/>
      </w:pPr>
      <w:r>
        <w:rPr>
          <w:rFonts w:ascii="Arial" w:cs="Arial" w:eastAsia="Arial" w:hAnsi="Arial"/>
          <w:color w:val="333333"/>
          <w:sz w:val="22"/>
          <w:szCs w:val="22"/>
        </w:rPr>
        <w:t xml:space="preserve">Los entregables trimestrales al Comité de Seguimiento incluyen: reporte de avance contra plan, reporte financiero, reporte ESG preliminar, y bitácora de incidencias y aprendizajes.</w:t>
      </w:r>
    </w:p>
    <w:p>
      <w:r>
        <w:br w:type="page"/>
      </w:r>
    </w:p>
    <w:p>
      <w:pPr>
        <w:pStyle w:val="Heading1"/>
        <w:spacing w:after="240" w:before="480"/>
      </w:pPr>
      <w:r>
        <w:rPr>
          <w:rFonts w:ascii="Arial" w:cs="Arial" w:eastAsia="Arial" w:hAnsi="Arial"/>
          <w:b/>
          <w:bCs/>
          <w:color w:val="1a1a1a"/>
          <w:sz w:val="36"/>
          <w:szCs w:val="36"/>
        </w:rPr>
        <w:t xml:space="preserve">11. Plan de comunicación</w:t>
      </w:r>
    </w:p>
    <w:p>
      <w:pPr>
        <w:pStyle w:val="Heading2"/>
        <w:spacing w:after="180" w:before="360"/>
      </w:pPr>
      <w:r>
        <w:rPr>
          <w:rFonts w:ascii="Arial" w:cs="Arial" w:eastAsia="Arial" w:hAnsi="Arial"/>
          <w:b/>
          <w:bCs/>
          <w:color w:val="1a1a1a"/>
          <w:sz w:val="26"/>
          <w:szCs w:val="26"/>
        </w:rPr>
        <w:t xml:space="preserve">11.1 Audiencias</w:t>
      </w:r>
    </w:p>
    <w:p>
      <w:pPr>
        <w:spacing w:after="120" w:before="120"/>
      </w:pPr>
      <w:r>
        <w:rPr>
          <w:rFonts w:ascii="Arial" w:cs="Arial" w:eastAsia="Arial" w:hAnsi="Arial"/>
          <w:color w:val="333333"/>
          <w:sz w:val="22"/>
          <w:szCs w:val="22"/>
        </w:rPr>
        <w:t xml:space="preserve">El plan de comunicación contempla cuatro audiencias principales: ciudadanía generadora de residuos, regidores y autoridades del propio municipio, prensa local, y socios estratégicos del programa.</w:t>
      </w:r>
    </w:p>
    <w:p>
      <w:pPr>
        <w:pStyle w:val="Heading2"/>
        <w:spacing w:after="180" w:before="360"/>
      </w:pPr>
      <w:r>
        <w:rPr>
          <w:rFonts w:ascii="Arial" w:cs="Arial" w:eastAsia="Arial" w:hAnsi="Arial"/>
          <w:b/>
          <w:bCs/>
          <w:color w:val="1a1a1a"/>
          <w:sz w:val="26"/>
          <w:szCs w:val="26"/>
        </w:rPr>
        <w:t xml:space="preserve">11.2 Mensajes principales</w:t>
      </w:r>
    </w:p>
    <w:p>
      <w:pPr>
        <w:spacing w:after="120" w:before="120"/>
      </w:pPr>
      <w:r>
        <w:rPr>
          <w:rFonts w:ascii="Arial" w:cs="Arial" w:eastAsia="Arial" w:hAnsi="Arial"/>
          <w:color w:val="333333"/>
          <w:sz w:val="22"/>
          <w:szCs w:val="22"/>
        </w:rPr>
        <w:t xml:space="preserve">Los mensajes principales se alinean con la narrativa institucional súmate al cambio, con énfasis en participación ciudadana, transformación de la ciudad, y resultados verificables. El detalle por audiencia se incluye en el Anexo U.</w:t>
      </w:r>
    </w:p>
    <w:p>
      <w:pPr>
        <w:pStyle w:val="Heading2"/>
        <w:spacing w:after="180" w:before="360"/>
      </w:pPr>
      <w:r>
        <w:rPr>
          <w:rFonts w:ascii="Arial" w:cs="Arial" w:eastAsia="Arial" w:hAnsi="Arial"/>
          <w:b/>
          <w:bCs/>
          <w:color w:val="1a1a1a"/>
          <w:sz w:val="26"/>
          <w:szCs w:val="26"/>
        </w:rPr>
        <w:t xml:space="preserve">11.3 Calendario de comunicación</w:t>
      </w:r>
    </w:p>
    <w:p>
      <w:pPr>
        <w:spacing w:after="120" w:before="120"/>
      </w:pPr>
      <w:r>
        <w:rPr>
          <w:rFonts w:ascii="Arial" w:cs="Arial" w:eastAsia="Arial" w:hAnsi="Arial"/>
          <w:color w:val="333333"/>
          <w:sz w:val="22"/>
          <w:szCs w:val="22"/>
        </w:rPr>
        <w:t xml:space="preserve">El calendario de comunicación se sincroniza con los hitos críticos del programa (sección 3.2) para maximizar impacto y construcción de respaldo público.</w:t>
      </w:r>
    </w:p>
    <w:p>
      <w:r>
        <w:br w:type="page"/>
      </w:r>
    </w:p>
    <w:p>
      <w:pPr>
        <w:pStyle w:val="Heading1"/>
        <w:spacing w:after="240" w:before="480"/>
      </w:pPr>
      <w:r>
        <w:rPr>
          <w:rFonts w:ascii="Arial" w:cs="Arial" w:eastAsia="Arial" w:hAnsi="Arial"/>
          <w:b/>
          <w:bCs/>
          <w:color w:val="1a1a1a"/>
          <w:sz w:val="36"/>
          <w:szCs w:val="36"/>
        </w:rPr>
        <w:t xml:space="preserve">12. Bibliografía y anexos</w:t>
      </w:r>
    </w:p>
    <w:p>
      <w:pPr>
        <w:spacing w:after="120" w:before="120"/>
      </w:pPr>
      <w:r>
        <w:rPr>
          <w:rFonts w:ascii="Arial" w:cs="Arial" w:eastAsia="Arial" w:hAnsi="Arial"/>
          <w:i/>
          <w:iCs/>
          <w:color w:val="555555"/>
          <w:sz w:val="22"/>
          <w:szCs w:val="22"/>
        </w:rPr>
        <w:t xml:space="preserve">La bibliografía completa con citas verificables formato Alquimia adaptado de Chicago notes-bibliography se incluye al final del documento. Los anexos M a U complementan el cuerpo del Plan Maestro con detalle técnico, financiero y operativo.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2"/>
        <w:szCs w:val="12"/>
      </w:rPr>
      <w:t xml:space="preserve">Documento Alquimia · alquimiaplatform.com · [FECHA]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rFonts w:ascii="Arial" w:cs="Arial" w:eastAsia="Arial" w:hAnsi="Arial"/>
        <w:color w:val="888888"/>
        <w:sz w:val="14"/>
        <w:szCs w:val="14"/>
      </w:rPr>
      <w:t xml:space="preserve">ALQUIMIA · Plan Maestro · [MUNICIPIO]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Maestro de Implementación</dc:title>
  <dc:creator>Alquimia Platform</dc:creator>
  <cp:lastModifiedBy>Un-named</cp:lastModifiedBy>
  <cp:revision>1</cp:revision>
  <dcterms:created xsi:type="dcterms:W3CDTF">2026-06-02T18:19:20.654Z</dcterms:created>
  <dcterms:modified xsi:type="dcterms:W3CDTF">2026-06-02T18:19:20.654Z</dcterms:modified>
</cp:coreProperties>
</file>

<file path=docProps/custom.xml><?xml version="1.0" encoding="utf-8"?>
<Properties xmlns="http://schemas.openxmlformats.org/officeDocument/2006/custom-properties" xmlns:vt="http://schemas.openxmlformats.org/officeDocument/2006/docPropsVTypes"/>
</file>