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r>
        <w:rPr>
          <w:rFonts w:ascii="Arial" w:cs="Arial" w:eastAsia="Arial" w:hAnsi="Arial"/>
          <w:b/>
          <w:bCs/>
          <w:color w:val="1a1a1a"/>
          <w:sz w:val="96"/>
          <w:szCs w:val="96"/>
        </w:rPr>
        <w:t xml:space="preserve">ALQUIMIA</w:t>
      </w:r>
    </w:p>
    <w:p>
      <w:pPr>
        <w:spacing w:before="60"/>
      </w:pPr>
      <w:r>
        <w:rPr>
          <w:rFonts w:ascii="Arial" w:cs="Arial" w:eastAsia="Arial" w:hAnsi="Arial"/>
          <w:i/>
          <w:iCs/>
          <w:color w:val="666666"/>
          <w:sz w:val="22"/>
          <w:szCs w:val="22"/>
        </w:rPr>
        <w:t xml:space="preserve">Plataforma de consultoría aterrizada en producto</w:t>
      </w:r>
    </w:p>
    <w:p>
      <w:pPr>
        <w:pBdr>
          <w:bottom w:val="single" w:color="1a1a1a" w:sz="12" w:space="1"/>
        </w:pBdr>
        <w:spacing w:before="720"/>
      </w:pPr>
      <w:r>
        <w:t xml:space="preserve"/>
      </w:r>
    </w:p>
    <w:p>
      <w:pPr>
        <w:spacing w:before="720"/>
      </w:pPr>
      <w:r>
        <w:rPr>
          <w:rFonts w:ascii="Arial" w:cs="Arial" w:eastAsia="Arial" w:hAnsi="Arial"/>
          <w:b/>
          <w:bCs/>
          <w:color w:val="1a1a1a"/>
          <w:sz w:val="44"/>
          <w:szCs w:val="44"/>
        </w:rPr>
        <w:t xml:space="preserve">Expediente de Diagnóstico</w:t>
      </w:r>
    </w:p>
    <w:p>
      <w:pPr>
        <w:spacing w:before="120"/>
      </w:pPr>
      <w:r>
        <w:rPr>
          <w:rFonts w:ascii="Arial" w:cs="Arial" w:eastAsia="Arial" w:hAnsi="Arial"/>
          <w:color w:val="555555"/>
          <w:sz w:val="22"/>
          <w:szCs w:val="22"/>
        </w:rPr>
        <w:t xml:space="preserve">Programa Municipal de Gestión Integral de Residuos Sólidos Urbanos</w:t>
      </w:r>
    </w:p>
    <w:p>
      <w:pPr>
        <w:spacing w:before="720"/>
      </w:pPr>
      <w:r>
        <w:rPr>
          <w:rFonts w:ascii="Arial" w:cs="Arial" w:eastAsia="Arial" w:hAnsi="Arial"/>
          <w:b/>
          <w:bCs/>
          <w:color w:val="888888"/>
          <w:sz w:val="14"/>
          <w:szCs w:val="14"/>
        </w:rPr>
        <w:t xml:space="preserve">MUNICIPIO</w:t>
      </w:r>
    </w:p>
    <w:p>
      <w:pPr>
        <w:spacing w:before="60"/>
      </w:pPr>
      <w:r>
        <w:rPr>
          <w:rFonts w:ascii="Arial" w:cs="Arial" w:eastAsia="Arial" w:hAnsi="Arial"/>
          <w:color w:val="1a1a1a"/>
          <w:sz w:val="28"/>
          <w:szCs w:val="28"/>
        </w:rPr>
        <w:t xml:space="preserve">[MUNICIPIO], [ESTADO]</w:t>
      </w:r>
    </w:p>
    <w:p>
      <w:pPr>
        <w:spacing w:before="30"/>
      </w:pPr>
      <w:r>
        <w:rPr>
          <w:rFonts w:ascii="Arial" w:cs="Arial" w:eastAsia="Arial" w:hAnsi="Arial"/>
          <w:color w:val="666666"/>
          <w:sz w:val="18"/>
          <w:szCs w:val="18"/>
        </w:rPr>
        <w:t xml:space="preserve">Clave INEGI: [CLAVE_INEGI]</w:t>
      </w:r>
    </w:p>
    <w:p>
      <w:pPr>
        <w:spacing w:before="480"/>
      </w:pPr>
      <w:r>
        <w:rPr>
          <w:rFonts w:ascii="Arial" w:cs="Arial" w:eastAsia="Arial" w:hAnsi="Arial"/>
          <w:b/>
          <w:bCs/>
          <w:color w:val="888888"/>
          <w:sz w:val="14"/>
          <w:szCs w:val="14"/>
        </w:rPr>
        <w:t xml:space="preserve">PRESENTADO ANTE</w:t>
      </w:r>
    </w:p>
    <w:p>
      <w:pPr>
        <w:spacing w:before="60"/>
      </w:pPr>
      <w:r>
        <w:rPr>
          <w:rFonts w:ascii="Arial" w:cs="Arial" w:eastAsia="Arial" w:hAnsi="Arial"/>
          <w:color w:val="1a1a1a"/>
          <w:sz w:val="22"/>
          <w:szCs w:val="22"/>
        </w:rPr>
        <w:t xml:space="preserve">H. Ayuntamiento de [MUNICIPIO]</w:t>
      </w:r>
    </w:p>
    <w:p>
      <w:pPr>
        <w:spacing w:before="30"/>
      </w:pPr>
      <w:r>
        <w:rPr>
          <w:rFonts w:ascii="Arial" w:cs="Arial" w:eastAsia="Arial" w:hAnsi="Arial"/>
          <w:color w:val="666666"/>
          <w:sz w:val="18"/>
          <w:szCs w:val="18"/>
        </w:rPr>
        <w:t xml:space="preserve">Administración [PERIODO]</w:t>
      </w:r>
    </w:p>
    <w:p>
      <w:pPr>
        <w:spacing w:before="720"/>
      </w:pPr>
      <w:r>
        <w:rPr>
          <w:rFonts w:ascii="Arial" w:cs="Arial" w:eastAsia="Arial" w:hAnsi="Arial"/>
          <w:b/>
          <w:bCs/>
          <w:color w:val="888888"/>
          <w:sz w:val="16"/>
          <w:szCs w:val="16"/>
        </w:rPr>
        <w:t xml:space="preserve">VERSIÓN [VERSION] · [FECHA]</w:t>
      </w:r>
    </w:p>
    <w:p>
      <w:r>
        <w:br w:type="page"/>
      </w:r>
    </w:p>
    <w:p>
      <w:pPr>
        <w:pStyle w:val="Heading1"/>
        <w:spacing w:after="240" w:before="480"/>
      </w:pPr>
      <w:r>
        <w:rPr>
          <w:rFonts w:ascii="Arial" w:cs="Arial" w:eastAsia="Arial" w:hAnsi="Arial"/>
          <w:b/>
          <w:bCs/>
          <w:color w:val="1a1a1a"/>
          <w:sz w:val="36"/>
          <w:szCs w:val="36"/>
        </w:rPr>
        <w:t xml:space="preserve">Índice</w:t>
      </w:r>
    </w:p>
    <w:p>
      <w:pPr>
        <w:spacing w:after="120" w:before="120"/>
      </w:pPr>
      <w:r>
        <w:rPr>
          <w:rFonts w:ascii="Arial" w:cs="Arial" w:eastAsia="Arial" w:hAnsi="Arial"/>
          <w:color w:val="333333"/>
          <w:sz w:val="22"/>
          <w:szCs w:val="22"/>
        </w:rPr>
        <w:t xml:space="preserve">1. Resumen Ejecutivo</w:t>
      </w:r>
    </w:p>
    <w:p>
      <w:pPr>
        <w:spacing w:after="120" w:before="120"/>
      </w:pPr>
      <w:r>
        <w:rPr>
          <w:rFonts w:ascii="Arial" w:cs="Arial" w:eastAsia="Arial" w:hAnsi="Arial"/>
          <w:color w:val="333333"/>
          <w:sz w:val="22"/>
          <w:szCs w:val="22"/>
        </w:rPr>
        <w:t xml:space="preserve">2. Antecedentes del municipio</w:t>
      </w:r>
    </w:p>
    <w:p>
      <w:pPr>
        <w:spacing w:after="120" w:before="120"/>
      </w:pPr>
      <w:r>
        <w:rPr>
          <w:rFonts w:ascii="Arial" w:cs="Arial" w:eastAsia="Arial" w:hAnsi="Arial"/>
          <w:color w:val="333333"/>
          <w:sz w:val="22"/>
          <w:szCs w:val="22"/>
        </w:rPr>
        <w:t xml:space="preserve">3. Diagnóstico de residuos sólidos urbanos</w:t>
      </w:r>
    </w:p>
    <w:p>
      <w:pPr>
        <w:spacing w:after="120" w:before="120"/>
      </w:pPr>
      <w:r>
        <w:rPr>
          <w:rFonts w:ascii="Arial" w:cs="Arial" w:eastAsia="Arial" w:hAnsi="Arial"/>
          <w:color w:val="333333"/>
          <w:sz w:val="22"/>
          <w:szCs w:val="22"/>
        </w:rPr>
        <w:t xml:space="preserve">4. Mapa social y de decisión</w:t>
      </w:r>
    </w:p>
    <w:p>
      <w:pPr>
        <w:spacing w:after="120" w:before="120"/>
      </w:pPr>
      <w:r>
        <w:rPr>
          <w:rFonts w:ascii="Arial" w:cs="Arial" w:eastAsia="Arial" w:hAnsi="Arial"/>
          <w:color w:val="333333"/>
          <w:sz w:val="22"/>
          <w:szCs w:val="22"/>
        </w:rPr>
        <w:t xml:space="preserve">5. Capacidad institucional</w:t>
      </w:r>
    </w:p>
    <w:p>
      <w:pPr>
        <w:spacing w:after="120" w:before="120"/>
      </w:pPr>
      <w:r>
        <w:rPr>
          <w:rFonts w:ascii="Arial" w:cs="Arial" w:eastAsia="Arial" w:hAnsi="Arial"/>
          <w:color w:val="333333"/>
          <w:sz w:val="22"/>
          <w:szCs w:val="22"/>
        </w:rPr>
        <w:t xml:space="preserve">6. Reforma reglamentaria propuesta</w:t>
      </w:r>
    </w:p>
    <w:p>
      <w:pPr>
        <w:spacing w:after="120" w:before="120"/>
      </w:pPr>
      <w:r>
        <w:rPr>
          <w:rFonts w:ascii="Arial" w:cs="Arial" w:eastAsia="Arial" w:hAnsi="Arial"/>
          <w:color w:val="333333"/>
          <w:sz w:val="22"/>
          <w:szCs w:val="22"/>
        </w:rPr>
        <w:t xml:space="preserve">7. Costo de no actuar</w:t>
      </w:r>
    </w:p>
    <w:p>
      <w:pPr>
        <w:spacing w:after="120" w:before="120"/>
      </w:pPr>
      <w:r>
        <w:rPr>
          <w:rFonts w:ascii="Arial" w:cs="Arial" w:eastAsia="Arial" w:hAnsi="Arial"/>
          <w:color w:val="333333"/>
          <w:sz w:val="22"/>
          <w:szCs w:val="22"/>
        </w:rPr>
        <w:t xml:space="preserve">8. Escenarios financieros</w:t>
      </w:r>
    </w:p>
    <w:p>
      <w:pPr>
        <w:spacing w:after="120" w:before="120"/>
      </w:pPr>
      <w:r>
        <w:rPr>
          <w:rFonts w:ascii="Arial" w:cs="Arial" w:eastAsia="Arial" w:hAnsi="Arial"/>
          <w:color w:val="333333"/>
          <w:sz w:val="22"/>
          <w:szCs w:val="22"/>
        </w:rPr>
        <w:t xml:space="preserve">9. Riesgos del programa</w:t>
      </w:r>
    </w:p>
    <w:p>
      <w:pPr>
        <w:spacing w:after="120" w:before="120"/>
      </w:pPr>
      <w:r>
        <w:rPr>
          <w:rFonts w:ascii="Arial" w:cs="Arial" w:eastAsia="Arial" w:hAnsi="Arial"/>
          <w:color w:val="333333"/>
          <w:sz w:val="22"/>
          <w:szCs w:val="22"/>
        </w:rPr>
        <w:t xml:space="preserve">10. Conclusiones y recomendaciones</w:t>
      </w:r>
    </w:p>
    <w:p>
      <w:pPr>
        <w:spacing w:after="120" w:before="120"/>
      </w:pPr>
      <w:r>
        <w:rPr>
          <w:rFonts w:ascii="Arial" w:cs="Arial" w:eastAsia="Arial" w:hAnsi="Arial"/>
          <w:color w:val="333333"/>
          <w:sz w:val="22"/>
          <w:szCs w:val="22"/>
        </w:rPr>
        <w:t xml:space="preserve">11. Bibliografía</w:t>
      </w:r>
    </w:p>
    <w:p>
      <w:pPr>
        <w:spacing w:after="120" w:before="120"/>
      </w:pPr>
      <w:r>
        <w:rPr>
          <w:rFonts w:ascii="Arial" w:cs="Arial" w:eastAsia="Arial" w:hAnsi="Arial"/>
          <w:color w:val="333333"/>
          <w:sz w:val="22"/>
          <w:szCs w:val="22"/>
        </w:rPr>
        <w:t xml:space="preserve">12. Anexos</w:t>
      </w:r>
    </w:p>
    <w:p>
      <w:r>
        <w:br w:type="page"/>
      </w:r>
    </w:p>
    <w:p>
      <w:pPr>
        <w:pStyle w:val="Heading1"/>
        <w:spacing w:after="240" w:before="480"/>
      </w:pPr>
      <w:r>
        <w:rPr>
          <w:rFonts w:ascii="Arial" w:cs="Arial" w:eastAsia="Arial" w:hAnsi="Arial"/>
          <w:b/>
          <w:bCs/>
          <w:color w:val="1a1a1a"/>
          <w:sz w:val="36"/>
          <w:szCs w:val="36"/>
        </w:rPr>
        <w:t xml:space="preserve">1. Resumen Ejecutivo</w:t>
      </w:r>
    </w:p>
    <w:p>
      <w:pPr>
        <w:pStyle w:val="Heading3"/>
        <w:spacing w:after="120" w:before="240"/>
      </w:pPr>
      <w:r>
        <w:rPr>
          <w:rFonts w:ascii="Arial" w:cs="Arial" w:eastAsia="Arial" w:hAnsi="Arial"/>
          <w:b/>
          <w:bCs/>
          <w:color w:val="333333"/>
          <w:sz w:val="22"/>
          <w:szCs w:val="22"/>
        </w:rPr>
        <w:t xml:space="preserve">Pregunta central</w:t>
      </w:r>
    </w:p>
    <w:p>
      <w:pPr>
        <w:spacing w:after="120" w:before="120"/>
      </w:pPr>
      <w:r>
        <w:rPr>
          <w:rFonts w:ascii="Arial" w:cs="Arial" w:eastAsia="Arial" w:hAnsi="Arial"/>
          <w:color w:val="333333"/>
          <w:sz w:val="22"/>
          <w:szCs w:val="22"/>
        </w:rPr>
        <w:t xml:space="preserve">¿Cómo puede [MUNICIPIO] transitar de una gestión convencional de residuos sólidos urbanos hacia un programa de circularidad institucional, técnicamente defendible, financieramente sostenible y políticamente viable durante la administración [PERIODO]?</w:t>
      </w:r>
    </w:p>
    <w:p>
      <w:pPr>
        <w:pStyle w:val="Heading3"/>
        <w:spacing w:after="120" w:before="240"/>
      </w:pPr>
      <w:r>
        <w:rPr>
          <w:rFonts w:ascii="Arial" w:cs="Arial" w:eastAsia="Arial" w:hAnsi="Arial"/>
          <w:b/>
          <w:bCs/>
          <w:color w:val="333333"/>
          <w:sz w:val="22"/>
          <w:szCs w:val="22"/>
        </w:rPr>
        <w:t xml:space="preserve">Respuesta principal</w:t>
      </w:r>
    </w:p>
    <w:p>
      <w:pPr>
        <w:spacing w:after="120" w:before="120"/>
      </w:pPr>
      <w:r>
        <w:rPr>
          <w:rFonts w:ascii="Arial" w:cs="Arial" w:eastAsia="Arial" w:hAnsi="Arial"/>
          <w:color w:val="333333"/>
          <w:sz w:val="22"/>
          <w:szCs w:val="22"/>
        </w:rPr>
        <w:t xml:space="preserve">La transición es factible mediante un programa integral fundamentado en tres componentes: una reforma reglamentaria que cierre las brechas identificadas en el marco normativo vigente, una operación piloto verificable con cuarteo NMX-AA-015-1985 y monitoreo mensual de indicadores GRI 306, y una estructura financiera con escenarios TIR/VPN documentados según criterios de banca de desarrollo. El programa se aterriza con cuña inicial en vivienda en condominio y escala progresivamente a otros generadores.</w:t>
      </w:r>
    </w:p>
    <w:p>
      <w:pPr>
        <w:pStyle w:val="Heading3"/>
        <w:spacing w:after="120" w:before="240"/>
      </w:pPr>
      <w:r>
        <w:rPr>
          <w:rFonts w:ascii="Arial" w:cs="Arial" w:eastAsia="Arial" w:hAnsi="Arial"/>
          <w:b/>
          <w:bCs/>
          <w:color w:val="333333"/>
          <w:sz w:val="22"/>
          <w:szCs w:val="22"/>
        </w:rPr>
        <w:t xml:space="preserve">Las tres conclusiones de soporte</w:t>
      </w:r>
    </w:p>
    <w:p>
      <w:pPr>
        <w:spacing w:after="120" w:before="120"/>
      </w:pPr>
      <w:r>
        <w:rPr>
          <w:rFonts w:ascii="Arial" w:cs="Arial" w:eastAsia="Arial" w:hAnsi="Arial"/>
          <w:color w:val="333333"/>
          <w:sz w:val="22"/>
          <w:szCs w:val="22"/>
        </w:rPr>
        <w:t xml:space="preserve">Primero, el costo de no actuar acumulado a 10 años representa una pérdida cuantificable para [MUNICIPIO] expresada en costos directos del manejo actual, costos indirectos de remediación ambiental, y costo de oportunidad de materiales valorizables no recuperados. El detalle financiero se desarrolla en la sección 7.</w:t>
      </w:r>
    </w:p>
    <w:p>
      <w:pPr>
        <w:spacing w:after="120" w:before="120"/>
      </w:pPr>
      <w:r>
        <w:rPr>
          <w:rFonts w:ascii="Arial" w:cs="Arial" w:eastAsia="Arial" w:hAnsi="Arial"/>
          <w:color w:val="333333"/>
          <w:sz w:val="22"/>
          <w:szCs w:val="22"/>
        </w:rPr>
        <w:t xml:space="preserve">Segundo, el marco normativo vigente del municipio presenta brechas específicas frente a la LGPGIR y al estándar GRI 306. La sección 6 detalla los adendos reglamentarios propuestos con justificación técnica artículo por artículo.</w:t>
      </w:r>
    </w:p>
    <w:p>
      <w:pPr>
        <w:spacing w:after="120" w:before="120"/>
      </w:pPr>
      <w:r>
        <w:rPr>
          <w:rFonts w:ascii="Arial" w:cs="Arial" w:eastAsia="Arial" w:hAnsi="Arial"/>
          <w:color w:val="333333"/>
          <w:sz w:val="22"/>
          <w:szCs w:val="22"/>
        </w:rPr>
        <w:t xml:space="preserve">Tercero, los escenarios financieros proyectados (ambicioso, moderado, conservador) muestran TIR positiva en los tres casos según parámetros de mercado actuales. El detalle de fórmulas y supuestos se encuentra en la sección 8.</w:t>
      </w:r>
    </w:p>
    <w:p>
      <w:pPr>
        <w:pStyle w:val="Heading3"/>
        <w:spacing w:after="120" w:before="240"/>
      </w:pPr>
      <w:r>
        <w:rPr>
          <w:rFonts w:ascii="Arial" w:cs="Arial" w:eastAsia="Arial" w:hAnsi="Arial"/>
          <w:b/>
          <w:bCs/>
          <w:color w:val="333333"/>
          <w:sz w:val="22"/>
          <w:szCs w:val="22"/>
        </w:rPr>
        <w:t xml:space="preserve">Recomendación al Cabildo</w:t>
      </w:r>
    </w:p>
    <w:p>
      <w:pPr>
        <w:spacing w:after="120" w:before="120"/>
      </w:pPr>
      <w:r>
        <w:rPr>
          <w:rFonts w:ascii="Arial" w:cs="Arial" w:eastAsia="Arial" w:hAnsi="Arial"/>
          <w:color w:val="333333"/>
          <w:sz w:val="22"/>
          <w:szCs w:val="22"/>
        </w:rPr>
        <w:t xml:space="preserve">Se solicita al Honorable Ayuntamiento aprobar el inicio formal del programa, lo cual incluye: (a) la reforma reglamentaria propuesta, (b) la asignación presupuestal para la fase de implementación, (c) la creación del comité de seguimiento del programa, y (d) la suscripción del convenio de operación con la Plataforma Alquimia para acompañamiento durante la implementación.</w:t>
      </w:r>
    </w:p>
    <w:p>
      <w:r>
        <w:br w:type="page"/>
      </w:r>
    </w:p>
    <w:p>
      <w:pPr>
        <w:pStyle w:val="Heading1"/>
        <w:spacing w:after="240" w:before="480"/>
      </w:pPr>
      <w:r>
        <w:rPr>
          <w:rFonts w:ascii="Arial" w:cs="Arial" w:eastAsia="Arial" w:hAnsi="Arial"/>
          <w:b/>
          <w:bCs/>
          <w:color w:val="1a1a1a"/>
          <w:sz w:val="36"/>
          <w:szCs w:val="36"/>
        </w:rPr>
        <w:t xml:space="preserve">2. Antecedentes del municipio</w:t>
      </w:r>
    </w:p>
    <w:p>
      <w:pPr>
        <w:pStyle w:val="Heading2"/>
        <w:spacing w:after="180" w:before="360"/>
      </w:pPr>
      <w:r>
        <w:rPr>
          <w:rFonts w:ascii="Arial" w:cs="Arial" w:eastAsia="Arial" w:hAnsi="Arial"/>
          <w:b/>
          <w:bCs/>
          <w:color w:val="1a1a1a"/>
          <w:sz w:val="26"/>
          <w:szCs w:val="26"/>
        </w:rPr>
        <w:t xml:space="preserve">2.1 Datos básicos</w:t>
      </w:r>
    </w:p>
    <w:p>
      <w:pPr>
        <w:spacing w:after="120" w:before="120"/>
      </w:pPr>
      <w:r>
        <w:rPr>
          <w:rFonts w:ascii="Arial" w:cs="Arial" w:eastAsia="Arial" w:hAnsi="Arial"/>
          <w:color w:val="333333"/>
          <w:sz w:val="22"/>
          <w:szCs w:val="22"/>
        </w:rPr>
        <w:t xml:space="preserve">[MUNICIPIO] se ubica en el estado de [ESTADO], con clave INEGI [CLAVE_INEGI]. De acuerdo con el Censo de Población y Vivienda 2020 publicado por INEGI, el municipio cuenta con [POBLACION] habitantes distribuidos en [N_LOCALIDADES] localidades.</w:t>
      </w:r>
    </w:p>
    <w:p>
      <w:pPr>
        <w:spacing w:after="120" w:before="120"/>
      </w:pPr>
      <w:r>
        <w:rPr>
          <w:rFonts w:ascii="Arial" w:cs="Arial" w:eastAsia="Arial" w:hAnsi="Arial"/>
          <w:color w:val="333333"/>
          <w:sz w:val="22"/>
          <w:szCs w:val="22"/>
        </w:rPr>
        <w:t xml:space="preserve">Datos adicionales de superficie territorial, densidad poblacional, distribución por colonias y caracterización urbana-rural se incluyen en el Anexo A.</w:t>
      </w:r>
    </w:p>
    <w:p>
      <w:pPr>
        <w:pStyle w:val="Heading2"/>
        <w:spacing w:after="180" w:before="360"/>
      </w:pPr>
      <w:r>
        <w:rPr>
          <w:rFonts w:ascii="Arial" w:cs="Arial" w:eastAsia="Arial" w:hAnsi="Arial"/>
          <w:b/>
          <w:bCs/>
          <w:color w:val="1a1a1a"/>
          <w:sz w:val="26"/>
          <w:szCs w:val="26"/>
        </w:rPr>
        <w:t xml:space="preserve">2.2 Composición política del Cabildo</w:t>
      </w:r>
    </w:p>
    <w:p>
      <w:pPr>
        <w:spacing w:after="120" w:before="120"/>
      </w:pPr>
      <w:r>
        <w:rPr>
          <w:rFonts w:ascii="Arial" w:cs="Arial" w:eastAsia="Arial" w:hAnsi="Arial"/>
          <w:color w:val="333333"/>
          <w:sz w:val="22"/>
          <w:szCs w:val="22"/>
        </w:rPr>
        <w:t xml:space="preserve">El Honorable Ayuntamiento de [MUNICIPIO] para la administración [PERIODO] está integrado por [PRESIDENTE_MUNICIPAL] como Presidente Municipal, [N_REGIDORES] regidores con sus respectivas comisiones, el Síndico Municipal y el Secretario del Ayuntamiento. La composición política específica se detalla en el Anexo B con base en el acta de instalación del Ayuntamiento publicada en el Periódico Oficial del Estado.</w:t>
      </w:r>
    </w:p>
    <w:p>
      <w:pPr>
        <w:pStyle w:val="Heading2"/>
        <w:spacing w:after="180" w:before="360"/>
      </w:pPr>
      <w:r>
        <w:rPr>
          <w:rFonts w:ascii="Arial" w:cs="Arial" w:eastAsia="Arial" w:hAnsi="Arial"/>
          <w:b/>
          <w:bCs/>
          <w:color w:val="1a1a1a"/>
          <w:sz w:val="26"/>
          <w:szCs w:val="26"/>
        </w:rPr>
        <w:t xml:space="preserve">2.3 Estructura administrativa</w:t>
      </w:r>
    </w:p>
    <w:p>
      <w:pPr>
        <w:spacing w:after="120" w:before="120"/>
      </w:pPr>
      <w:r>
        <w:rPr>
          <w:rFonts w:ascii="Arial" w:cs="Arial" w:eastAsia="Arial" w:hAnsi="Arial"/>
          <w:color w:val="333333"/>
          <w:sz w:val="22"/>
          <w:szCs w:val="22"/>
        </w:rPr>
        <w:t xml:space="preserve">La gestión de residuos sólidos urbanos en [MUNICIPIO] recae en [DIRECCION_RESPONSABLE], dependiente de [SECRETARIA_PADRE]. El detalle del organigrama operativo, número de personal, turnos y áreas dependientes se documenta en la sección de Anexos con referencia al Manual de Organización vigente del Ayuntamiento.</w:t>
      </w:r>
    </w:p>
    <w:p>
      <w:pPr>
        <w:pStyle w:val="Heading2"/>
        <w:spacing w:after="180" w:before="360"/>
      </w:pPr>
      <w:r>
        <w:rPr>
          <w:rFonts w:ascii="Arial" w:cs="Arial" w:eastAsia="Arial" w:hAnsi="Arial"/>
          <w:b/>
          <w:bCs/>
          <w:color w:val="1a1a1a"/>
          <w:sz w:val="26"/>
          <w:szCs w:val="26"/>
        </w:rPr>
        <w:t xml:space="preserve">2.4 Marco normativo vigente</w:t>
      </w:r>
    </w:p>
    <w:p>
      <w:pPr>
        <w:spacing w:after="120" w:before="120"/>
      </w:pPr>
      <w:r>
        <w:rPr>
          <w:rFonts w:ascii="Arial" w:cs="Arial" w:eastAsia="Arial" w:hAnsi="Arial"/>
          <w:color w:val="333333"/>
          <w:sz w:val="22"/>
          <w:szCs w:val="22"/>
        </w:rPr>
        <w:t xml:space="preserve">[MUNICIPIO] cuenta con Reglamento de Limpia o Aseo Público publicado el [FECHA_REGLAMENTO_VIGENTE] en el Periódico Oficial del Estado. Adicionalmente, el Plan Municipal de Desarrollo [PERIODO] contempla acciones específicas en materia de gestión de residuos sólidos urbanos. Ambos documentos forman parte del Anexo C de este expediente.</w:t>
      </w:r>
    </w:p>
    <w:p>
      <w:pPr>
        <w:pStyle w:val="Heading2"/>
        <w:spacing w:after="180" w:before="360"/>
      </w:pPr>
      <w:r>
        <w:rPr>
          <w:rFonts w:ascii="Arial" w:cs="Arial" w:eastAsia="Arial" w:hAnsi="Arial"/>
          <w:b/>
          <w:bCs/>
          <w:color w:val="1a1a1a"/>
          <w:sz w:val="26"/>
          <w:szCs w:val="26"/>
        </w:rPr>
        <w:t xml:space="preserve">2.5 Servicio operativo actual</w:t>
      </w:r>
    </w:p>
    <w:p>
      <w:pPr>
        <w:spacing w:after="120" w:before="120"/>
      </w:pPr>
      <w:r>
        <w:rPr>
          <w:rFonts w:ascii="Arial" w:cs="Arial" w:eastAsia="Arial" w:hAnsi="Arial"/>
          <w:color w:val="333333"/>
          <w:sz w:val="22"/>
          <w:szCs w:val="22"/>
        </w:rPr>
        <w:t xml:space="preserve">El servicio de recolección y disposición final de residuos sólidos urbanos se opera bajo la modalidad de [MODALIDAD_SERVICIO]. El detalle operativo, cobertura territorial, vehículos disponibles y frecuencia por zona se desarrolla en la sección 3 del presente expediente.</w:t>
      </w:r>
    </w:p>
    <w:p>
      <w:r>
        <w:br w:type="page"/>
      </w:r>
    </w:p>
    <w:p>
      <w:pPr>
        <w:pStyle w:val="Heading1"/>
        <w:spacing w:after="240" w:before="480"/>
      </w:pPr>
      <w:r>
        <w:rPr>
          <w:rFonts w:ascii="Arial" w:cs="Arial" w:eastAsia="Arial" w:hAnsi="Arial"/>
          <w:b/>
          <w:bCs/>
          <w:color w:val="1a1a1a"/>
          <w:sz w:val="36"/>
          <w:szCs w:val="36"/>
        </w:rPr>
        <w:t xml:space="preserve">3. Diagnóstico de residuos sólidos urbanos</w:t>
      </w:r>
    </w:p>
    <w:p>
      <w:pPr>
        <w:pStyle w:val="Heading2"/>
        <w:spacing w:after="180" w:before="360"/>
      </w:pPr>
      <w:r>
        <w:rPr>
          <w:rFonts w:ascii="Arial" w:cs="Arial" w:eastAsia="Arial" w:hAnsi="Arial"/>
          <w:b/>
          <w:bCs/>
          <w:color w:val="1a1a1a"/>
          <w:sz w:val="26"/>
          <w:szCs w:val="26"/>
        </w:rPr>
        <w:t xml:space="preserve">3.1 Generación de RSU</w:t>
      </w:r>
    </w:p>
    <w:p>
      <w:pPr>
        <w:spacing w:after="120" w:before="120"/>
      </w:pPr>
      <w:r>
        <w:rPr>
          <w:rFonts w:ascii="Arial" w:cs="Arial" w:eastAsia="Arial" w:hAnsi="Arial"/>
          <w:color w:val="333333"/>
          <w:sz w:val="22"/>
          <w:szCs w:val="22"/>
        </w:rPr>
        <w:t xml:space="preserve">[MUNICIPIO] presenta una generación total estimada de [GENERACION_TOTAL] toneladas diarias de residuos sólidos urbanos, con una generación per cápita de [GEN_PER_CAPITA] kilogramos por habitante por día.</w:t>
      </w:r>
    </w:p>
    <w:p>
      <w:pPr>
        <w:spacing w:after="120" w:before="120"/>
      </w:pPr>
      <w:r>
        <w:rPr>
          <w:rFonts w:ascii="Arial" w:cs="Arial" w:eastAsia="Arial" w:hAnsi="Arial"/>
          <w:color w:val="333333"/>
          <w:sz w:val="22"/>
          <w:szCs w:val="22"/>
        </w:rPr>
        <w:t xml:space="preserve">El origen del dato y su sello de confianza se detallan a continuación. Si el municipio cuenta con estudio de cuarteo según NMX-AA-015-1985, las cifras provienen directamente de dicho estudio (sello: De documento institucional). En ausencia de dicho estudio, las cifras se calculan combinando la población verificada por INEGI con benchmarks publicados por el Banco Mundial en What a Waste 3.0 (2024) para municipios mexicanos de tamaño comparable (sello: Calculado).</w:t>
      </w:r>
    </w:p>
    <w:p>
      <w:pPr>
        <w:pStyle w:val="Heading2"/>
        <w:spacing w:after="180" w:before="360"/>
      </w:pPr>
      <w:r>
        <w:rPr>
          <w:rFonts w:ascii="Arial" w:cs="Arial" w:eastAsia="Arial" w:hAnsi="Arial"/>
          <w:b/>
          <w:bCs/>
          <w:color w:val="1a1a1a"/>
          <w:sz w:val="26"/>
          <w:szCs w:val="26"/>
        </w:rPr>
        <w:t xml:space="preserve">3.2 Composición de los residuos</w:t>
      </w:r>
    </w:p>
    <w:p>
      <w:pPr>
        <w:spacing w:after="120" w:before="120"/>
      </w:pPr>
      <w:r>
        <w:rPr>
          <w:rFonts w:ascii="Arial" w:cs="Arial" w:eastAsia="Arial" w:hAnsi="Arial"/>
          <w:color w:val="333333"/>
          <w:sz w:val="22"/>
          <w:szCs w:val="22"/>
        </w:rPr>
        <w:t xml:space="preserve">La composición proyectada para [MUNICIPIO] sigue el patrón típico de municipios mexicanos del mismo rango poblacional. Las fracciones detalladas (orgánicos, papel y cartón, plásticos, vidrio, metales, otros valorizables, no valorizables) se presentan en la tabla del Anexo D.</w:t>
      </w:r>
    </w:p>
    <w:p>
      <w:pPr>
        <w:spacing w:after="120" w:before="120"/>
      </w:pPr>
      <w:r>
        <w:rPr>
          <w:rFonts w:ascii="Arial" w:cs="Arial" w:eastAsia="Arial" w:hAnsi="Arial"/>
          <w:color w:val="333333"/>
          <w:sz w:val="22"/>
          <w:szCs w:val="22"/>
        </w:rPr>
        <w:t xml:space="preserve">Se recomienda al municipio realizar estudio de cuarteo según NMX-AA-015-1985 durante la fase de Planeación del programa, con el fin de sustituir las cifras calculadas por mediciones reales del territorio. Costo de mercado del estudio: $80,000 a $250,000 MXN según extensión territorial.</w:t>
      </w:r>
    </w:p>
    <w:p>
      <w:pPr>
        <w:pStyle w:val="Heading2"/>
        <w:spacing w:after="180" w:before="360"/>
      </w:pPr>
      <w:r>
        <w:rPr>
          <w:rFonts w:ascii="Arial" w:cs="Arial" w:eastAsia="Arial" w:hAnsi="Arial"/>
          <w:b/>
          <w:bCs/>
          <w:color w:val="1a1a1a"/>
          <w:sz w:val="26"/>
          <w:szCs w:val="26"/>
        </w:rPr>
        <w:t xml:space="preserve">3.3 Recolección actual</w:t>
      </w:r>
    </w:p>
    <w:p>
      <w:pPr>
        <w:spacing w:after="120" w:before="120"/>
      </w:pPr>
      <w:r>
        <w:rPr>
          <w:rFonts w:ascii="Arial" w:cs="Arial" w:eastAsia="Arial" w:hAnsi="Arial"/>
          <w:color w:val="333333"/>
          <w:sz w:val="22"/>
          <w:szCs w:val="22"/>
        </w:rPr>
        <w:t xml:space="preserve">El servicio actual de recolección opera bajo modalidad [MODALIDAD_SERVICIO] con cobertura territorial estimada de [COBERTURA_PCT] por ciento. La flota vehicular consiste en [N_VEHICULOS] unidades con frecuencia promedio de [FRECUENCIA_DIAS] días por semana. El detalle por zona se incluye en el Anexo E.</w:t>
      </w:r>
    </w:p>
    <w:p>
      <w:pPr>
        <w:pStyle w:val="Heading2"/>
        <w:spacing w:after="180" w:before="360"/>
      </w:pPr>
      <w:r>
        <w:rPr>
          <w:rFonts w:ascii="Arial" w:cs="Arial" w:eastAsia="Arial" w:hAnsi="Arial"/>
          <w:b/>
          <w:bCs/>
          <w:color w:val="1a1a1a"/>
          <w:sz w:val="26"/>
          <w:szCs w:val="26"/>
        </w:rPr>
        <w:t xml:space="preserve">3.4 Disposición final</w:t>
      </w:r>
    </w:p>
    <w:p>
      <w:pPr>
        <w:spacing w:after="120" w:before="120"/>
      </w:pPr>
      <w:r>
        <w:rPr>
          <w:rFonts w:ascii="Arial" w:cs="Arial" w:eastAsia="Arial" w:hAnsi="Arial"/>
          <w:color w:val="333333"/>
          <w:sz w:val="22"/>
          <w:szCs w:val="22"/>
        </w:rPr>
        <w:t xml:space="preserve">El sitio de disposición final activo es [NOMBRE_SITIO_DISPOSICION] con título de operación vigente al [FECHA_VIGENCIA]. El cumplimiento de la NOM-083-SEMARNAT-2003 se documenta en el Anexo F con base en la manifestación de impacto ambiental y la última auditoría realizada.</w:t>
      </w:r>
    </w:p>
    <w:p>
      <w:pPr>
        <w:spacing w:after="120" w:before="120"/>
      </w:pPr>
      <w:r>
        <w:rPr>
          <w:rFonts w:ascii="Arial" w:cs="Arial" w:eastAsia="Arial" w:hAnsi="Arial"/>
          <w:color w:val="333333"/>
          <w:sz w:val="22"/>
          <w:szCs w:val="22"/>
        </w:rPr>
        <w:t xml:space="preserve">La vida útil remanente del sitio se estima en [ANOS_REMANENTES] años con base en los volúmenes actuales de disposición. Esto constituye uno de los factores críticos abordados en la sección 4 sobre costo de no actuar.</w:t>
      </w:r>
    </w:p>
    <w:p>
      <w:r>
        <w:br w:type="page"/>
      </w:r>
    </w:p>
    <w:p>
      <w:pPr>
        <w:pStyle w:val="Heading1"/>
        <w:spacing w:after="240" w:before="480"/>
      </w:pPr>
      <w:r>
        <w:rPr>
          <w:rFonts w:ascii="Arial" w:cs="Arial" w:eastAsia="Arial" w:hAnsi="Arial"/>
          <w:b/>
          <w:bCs/>
          <w:color w:val="1a1a1a"/>
          <w:sz w:val="36"/>
          <w:szCs w:val="36"/>
        </w:rPr>
        <w:t xml:space="preserve">4. Mapa social y de decisión</w:t>
      </w:r>
    </w:p>
    <w:p>
      <w:pPr>
        <w:pStyle w:val="Heading2"/>
        <w:spacing w:after="180" w:before="360"/>
      </w:pPr>
      <w:r>
        <w:rPr>
          <w:rFonts w:ascii="Arial" w:cs="Arial" w:eastAsia="Arial" w:hAnsi="Arial"/>
          <w:b/>
          <w:bCs/>
          <w:color w:val="1a1a1a"/>
          <w:sz w:val="26"/>
          <w:szCs w:val="26"/>
        </w:rPr>
        <w:t xml:space="preserve">4.1 Actores institucionales</w:t>
      </w:r>
    </w:p>
    <w:p>
      <w:pPr>
        <w:spacing w:after="120" w:before="120"/>
      </w:pPr>
      <w:r>
        <w:rPr>
          <w:rFonts w:ascii="Arial" w:cs="Arial" w:eastAsia="Arial" w:hAnsi="Arial"/>
          <w:color w:val="333333"/>
          <w:sz w:val="22"/>
          <w:szCs w:val="22"/>
        </w:rPr>
        <w:t xml:space="preserve">El programa requiere la participación coordinada de múltiples actores institucionales en los niveles municipal, estatal y federal. El Anexo G presenta el listado completo con sus responsabilidades específicas en el programa.</w:t>
      </w:r>
    </w:p>
    <w:p>
      <w:pPr>
        <w:pStyle w:val="Heading2"/>
        <w:spacing w:after="180" w:before="360"/>
      </w:pPr>
      <w:r>
        <w:rPr>
          <w:rFonts w:ascii="Arial" w:cs="Arial" w:eastAsia="Arial" w:hAnsi="Arial"/>
          <w:b/>
          <w:bCs/>
          <w:color w:val="1a1a1a"/>
          <w:sz w:val="26"/>
          <w:szCs w:val="26"/>
        </w:rPr>
        <w:t xml:space="preserve">4.2 Sociedad civil y organizaciones</w:t>
      </w:r>
    </w:p>
    <w:p>
      <w:pPr>
        <w:spacing w:after="120" w:before="120"/>
      </w:pPr>
      <w:r>
        <w:rPr>
          <w:rFonts w:ascii="Arial" w:cs="Arial" w:eastAsia="Arial" w:hAnsi="Arial"/>
          <w:color w:val="333333"/>
          <w:sz w:val="22"/>
          <w:szCs w:val="22"/>
        </w:rPr>
        <w:t xml:space="preserve">Las organizaciones de la sociedad civil registradas en [MUNICIPIO] que han manifestado interés o trabajo en gestión de residuos se identifican mediante búsqueda en el padrón estatal de organizaciones de la sociedad civil. La participación ciudadana es elemento estratégico del programa.</w:t>
      </w:r>
    </w:p>
    <w:p>
      <w:pPr>
        <w:pStyle w:val="Heading2"/>
        <w:spacing w:after="180" w:before="360"/>
      </w:pPr>
      <w:r>
        <w:rPr>
          <w:rFonts w:ascii="Arial" w:cs="Arial" w:eastAsia="Arial" w:hAnsi="Arial"/>
          <w:b/>
          <w:bCs/>
          <w:color w:val="1a1a1a"/>
          <w:sz w:val="26"/>
          <w:szCs w:val="26"/>
        </w:rPr>
        <w:t xml:space="preserve">4.3 Sector privado</w:t>
      </w:r>
    </w:p>
    <w:p>
      <w:pPr>
        <w:spacing w:after="120" w:before="120"/>
      </w:pPr>
      <w:r>
        <w:rPr>
          <w:rFonts w:ascii="Arial" w:cs="Arial" w:eastAsia="Arial" w:hAnsi="Arial"/>
          <w:color w:val="333333"/>
          <w:sz w:val="22"/>
          <w:szCs w:val="22"/>
        </w:rPr>
        <w:t xml:space="preserve">Las cámaras empresariales locales, recicladoras formales y generadores grandes (centros comerciales, parques industriales) constituyen el ecosistema de socios privados con quienes el programa puede establecer convenios de colaboración. El detalle se desarrolla durante la fase de Planeación.</w:t>
      </w:r>
    </w:p>
    <w:p>
      <w:r>
        <w:br w:type="page"/>
      </w:r>
    </w:p>
    <w:p>
      <w:pPr>
        <w:pStyle w:val="Heading1"/>
        <w:spacing w:after="240" w:before="480"/>
      </w:pPr>
      <w:r>
        <w:rPr>
          <w:rFonts w:ascii="Arial" w:cs="Arial" w:eastAsia="Arial" w:hAnsi="Arial"/>
          <w:b/>
          <w:bCs/>
          <w:color w:val="1a1a1a"/>
          <w:sz w:val="36"/>
          <w:szCs w:val="36"/>
        </w:rPr>
        <w:t xml:space="preserve">5. Capacidad institucional</w:t>
      </w:r>
    </w:p>
    <w:p>
      <w:pPr>
        <w:pStyle w:val="Heading2"/>
        <w:spacing w:after="180" w:before="360"/>
      </w:pPr>
      <w:r>
        <w:rPr>
          <w:rFonts w:ascii="Arial" w:cs="Arial" w:eastAsia="Arial" w:hAnsi="Arial"/>
          <w:b/>
          <w:bCs/>
          <w:color w:val="1a1a1a"/>
          <w:sz w:val="26"/>
          <w:szCs w:val="26"/>
        </w:rPr>
        <w:t xml:space="preserve">5.1 Marco normativo aplicable</w:t>
      </w:r>
    </w:p>
    <w:p>
      <w:pPr>
        <w:spacing w:after="120" w:before="120"/>
      </w:pPr>
      <w:r>
        <w:rPr>
          <w:rFonts w:ascii="Arial" w:cs="Arial" w:eastAsia="Arial" w:hAnsi="Arial"/>
          <w:color w:val="333333"/>
          <w:sz w:val="22"/>
          <w:szCs w:val="22"/>
        </w:rPr>
        <w:t xml:space="preserve">La gestión de residuos sólidos urbanos en México se rige por una jerarquía normativa que va desde el artículo 4to constitucional, pasando por la Ley General para la Prevención y Gestión Integral de los Residuos (LGPGIR), las leyes estatales correspondientes, hasta los reglamentos municipales. Adicionalmente aplican normas oficiales mexicanas (NOM-083, NOM-098, NOM-161) y normas mexicanas técnicas (NMX-AA-015, NMX-AA-019, NMX-AA-022, NMX-AA-061, NMX-AA-091).</w:t>
      </w:r>
    </w:p>
    <w:p>
      <w:pPr>
        <w:pStyle w:val="Heading2"/>
        <w:spacing w:after="180" w:before="360"/>
      </w:pPr>
      <w:r>
        <w:rPr>
          <w:rFonts w:ascii="Arial" w:cs="Arial" w:eastAsia="Arial" w:hAnsi="Arial"/>
          <w:b/>
          <w:bCs/>
          <w:color w:val="1a1a1a"/>
          <w:sz w:val="26"/>
          <w:szCs w:val="26"/>
        </w:rPr>
        <w:t xml:space="preserve">5.2 Capacidad operativa actual</w:t>
      </w:r>
    </w:p>
    <w:p>
      <w:pPr>
        <w:spacing w:after="120" w:before="120"/>
      </w:pPr>
      <w:r>
        <w:rPr>
          <w:rFonts w:ascii="Arial" w:cs="Arial" w:eastAsia="Arial" w:hAnsi="Arial"/>
          <w:color w:val="333333"/>
          <w:sz w:val="22"/>
          <w:szCs w:val="22"/>
        </w:rPr>
        <w:t xml:space="preserve">El presupuesto anual destinado a Servicios Públicos en [MUNICIPIO] ascendió a [PRESUPUESTO_SP] pesos en el último ejercicio fiscal. De este monto, [PCT_RSU] por ciento se destina específicamente a gestión de RSU. El costo unitario actual del servicio se estima en [COSTO_UNITARIO] pesos por tonelada manejada.</w:t>
      </w:r>
    </w:p>
    <w:p>
      <w:pPr>
        <w:pStyle w:val="Heading2"/>
        <w:spacing w:after="180" w:before="360"/>
      </w:pPr>
      <w:r>
        <w:rPr>
          <w:rFonts w:ascii="Arial" w:cs="Arial" w:eastAsia="Arial" w:hAnsi="Arial"/>
          <w:b/>
          <w:bCs/>
          <w:color w:val="1a1a1a"/>
          <w:sz w:val="26"/>
          <w:szCs w:val="26"/>
        </w:rPr>
        <w:t xml:space="preserve">5.3 Capacidad fiscal y financiera</w:t>
      </w:r>
    </w:p>
    <w:p>
      <w:pPr>
        <w:spacing w:after="120" w:before="120"/>
      </w:pPr>
      <w:r>
        <w:rPr>
          <w:rFonts w:ascii="Arial" w:cs="Arial" w:eastAsia="Arial" w:hAnsi="Arial"/>
          <w:color w:val="333333"/>
          <w:sz w:val="22"/>
          <w:szCs w:val="22"/>
        </w:rPr>
        <w:t xml:space="preserve">[MUNICIPIO] presenta ingresos propios y participaciones federales según se documenta en su Cuenta Pública más reciente. La calificación crediticia vigente, si existe, se incluye en el Anexo H como elemento de soporte para los escenarios financieros presentados en la sección 8.</w:t>
      </w:r>
    </w:p>
    <w:p>
      <w:r>
        <w:br w:type="page"/>
      </w:r>
    </w:p>
    <w:p>
      <w:pPr>
        <w:pStyle w:val="Heading1"/>
        <w:spacing w:after="240" w:before="480"/>
      </w:pPr>
      <w:r>
        <w:rPr>
          <w:rFonts w:ascii="Arial" w:cs="Arial" w:eastAsia="Arial" w:hAnsi="Arial"/>
          <w:b/>
          <w:bCs/>
          <w:color w:val="1a1a1a"/>
          <w:sz w:val="36"/>
          <w:szCs w:val="36"/>
        </w:rPr>
        <w:t xml:space="preserve">6. Reforma reglamentaria propuesta</w:t>
      </w:r>
    </w:p>
    <w:p>
      <w:pPr>
        <w:pStyle w:val="Heading2"/>
        <w:spacing w:after="180" w:before="360"/>
      </w:pPr>
      <w:r>
        <w:rPr>
          <w:rFonts w:ascii="Arial" w:cs="Arial" w:eastAsia="Arial" w:hAnsi="Arial"/>
          <w:b/>
          <w:bCs/>
          <w:color w:val="1a1a1a"/>
          <w:sz w:val="26"/>
          <w:szCs w:val="26"/>
        </w:rPr>
        <w:t xml:space="preserve">6.1 Análisis de brechas</w:t>
      </w:r>
    </w:p>
    <w:p>
      <w:pPr>
        <w:spacing w:after="120" w:before="120"/>
      </w:pPr>
      <w:r>
        <w:rPr>
          <w:rFonts w:ascii="Arial" w:cs="Arial" w:eastAsia="Arial" w:hAnsi="Arial"/>
          <w:color w:val="333333"/>
          <w:sz w:val="22"/>
          <w:szCs w:val="22"/>
        </w:rPr>
        <w:t xml:space="preserve">El Reglamento de Limpia vigente de [MUNICIPIO], publicado el [FECHA_REGLAMENTO_VIGENTE], presenta brechas específicas frente al marco federal LGPGIR y al estándar GRI 306. Estas brechas se documentan en la tabla comparativa del Anexo I.</w:t>
      </w:r>
    </w:p>
    <w:p>
      <w:pPr>
        <w:pStyle w:val="Heading2"/>
        <w:spacing w:after="180" w:before="360"/>
      </w:pPr>
      <w:r>
        <w:rPr>
          <w:rFonts w:ascii="Arial" w:cs="Arial" w:eastAsia="Arial" w:hAnsi="Arial"/>
          <w:b/>
          <w:bCs/>
          <w:color w:val="1a1a1a"/>
          <w:sz w:val="26"/>
          <w:szCs w:val="26"/>
        </w:rPr>
        <w:t xml:space="preserve">6.2 Propuesta de adendos</w:t>
      </w:r>
    </w:p>
    <w:p>
      <w:pPr>
        <w:spacing w:after="120" w:before="120"/>
      </w:pPr>
      <w:r>
        <w:rPr>
          <w:rFonts w:ascii="Arial" w:cs="Arial" w:eastAsia="Arial" w:hAnsi="Arial"/>
          <w:color w:val="333333"/>
          <w:sz w:val="22"/>
          <w:szCs w:val="22"/>
        </w:rPr>
        <w:t xml:space="preserve">Con base en el análisis de brechas, se proponen los siguientes adendos reglamentarios para incorporación al cuerpo del Reglamento de Limpia vigente. Cada adendo se acompaña de su justificación técnica detallada en la sub-sección 6.3.</w:t>
      </w:r>
    </w:p>
    <w:p>
      <w:pPr>
        <w:spacing w:after="120" w:before="120"/>
      </w:pPr>
      <w:r>
        <w:rPr>
          <w:rFonts w:ascii="Arial" w:cs="Arial" w:eastAsia="Arial" w:hAnsi="Arial"/>
          <w:color w:val="333333"/>
          <w:sz w:val="22"/>
          <w:szCs w:val="22"/>
        </w:rPr>
        <w:t xml:space="preserve">Adendo A: separación en origen obligatoria con plazo de implementación gradual.</w:t>
      </w:r>
    </w:p>
    <w:p>
      <w:pPr>
        <w:spacing w:after="120" w:before="120"/>
      </w:pPr>
      <w:r>
        <w:rPr>
          <w:rFonts w:ascii="Arial" w:cs="Arial" w:eastAsia="Arial" w:hAnsi="Arial"/>
          <w:color w:val="333333"/>
          <w:sz w:val="22"/>
          <w:szCs w:val="22"/>
        </w:rPr>
        <w:t xml:space="preserve">Adendo B: sanciones por incumplimiento y mecanismo de aplicación.</w:t>
      </w:r>
    </w:p>
    <w:p>
      <w:pPr>
        <w:spacing w:after="120" w:before="120"/>
      </w:pPr>
      <w:r>
        <w:rPr>
          <w:rFonts w:ascii="Arial" w:cs="Arial" w:eastAsia="Arial" w:hAnsi="Arial"/>
          <w:color w:val="333333"/>
          <w:sz w:val="22"/>
          <w:szCs w:val="22"/>
        </w:rPr>
        <w:t xml:space="preserve">Adendo C: incentivos por cumplimiento ciudadano y empresarial.</w:t>
      </w:r>
    </w:p>
    <w:p>
      <w:pPr>
        <w:pStyle w:val="Heading2"/>
        <w:spacing w:after="180" w:before="360"/>
      </w:pPr>
      <w:r>
        <w:rPr>
          <w:rFonts w:ascii="Arial" w:cs="Arial" w:eastAsia="Arial" w:hAnsi="Arial"/>
          <w:b/>
          <w:bCs/>
          <w:color w:val="1a1a1a"/>
          <w:sz w:val="26"/>
          <w:szCs w:val="26"/>
        </w:rPr>
        <w:t xml:space="preserve">6.3 Justificación técnica de los adendos</w:t>
      </w:r>
    </w:p>
    <w:p>
      <w:pPr>
        <w:pStyle w:val="Heading3"/>
        <w:spacing w:after="120" w:before="240"/>
      </w:pPr>
      <w:r>
        <w:rPr>
          <w:rFonts w:ascii="Arial" w:cs="Arial" w:eastAsia="Arial" w:hAnsi="Arial"/>
          <w:b/>
          <w:bCs/>
          <w:color w:val="333333"/>
          <w:sz w:val="22"/>
          <w:szCs w:val="22"/>
        </w:rPr>
        <w:t xml:space="preserve">Justificación del Adendo A</w:t>
      </w:r>
    </w:p>
    <w:p>
      <w:pPr>
        <w:spacing w:after="120" w:before="120"/>
      </w:pPr>
      <w:r>
        <w:rPr>
          <w:rFonts w:ascii="Arial" w:cs="Arial" w:eastAsia="Arial" w:hAnsi="Arial"/>
          <w:color w:val="333333"/>
          <w:sz w:val="22"/>
          <w:szCs w:val="22"/>
        </w:rPr>
        <w:t xml:space="preserve">La separación en origen es elemento técnico fundamental para cualquier programa de circularidad. La LGPGIR en su artículo 18 establece la obligación de los municipios de promover la separación; sin embargo, el reglamento vigente de [MUNICIPIO] no establece el mecanismo específico de cumplimiento ciudadano. El adendo propuesto cierra esta brecha con plazo gradual de 12 meses para permitir adaptación. Precedente: municipios de Querétaro Capital y Mérida implementaron disposiciones similares con resultados documentados.</w:t>
      </w:r>
    </w:p>
    <w:p>
      <w:pPr>
        <w:pStyle w:val="Heading3"/>
        <w:spacing w:after="120" w:before="240"/>
      </w:pPr>
      <w:r>
        <w:rPr>
          <w:rFonts w:ascii="Arial" w:cs="Arial" w:eastAsia="Arial" w:hAnsi="Arial"/>
          <w:b/>
          <w:bCs/>
          <w:color w:val="333333"/>
          <w:sz w:val="22"/>
          <w:szCs w:val="22"/>
        </w:rPr>
        <w:t xml:space="preserve">Justificación del Adendo B</w:t>
      </w:r>
    </w:p>
    <w:p>
      <w:pPr>
        <w:spacing w:after="120" w:before="120"/>
      </w:pPr>
      <w:r>
        <w:rPr>
          <w:rFonts w:ascii="Arial" w:cs="Arial" w:eastAsia="Arial" w:hAnsi="Arial"/>
          <w:color w:val="333333"/>
          <w:sz w:val="22"/>
          <w:szCs w:val="22"/>
        </w:rPr>
        <w:t xml:space="preserve">Sin sanciones aplicables, la obligación de separación es declarativa y no operativa. El adendo propuesto establece sanciones graduales según reincidencia, con mecanismo de aplicación a través de la Dirección de Servicios Públicos y el Juzgado Cívico Municipal. La estructura de sanciones se calibra con base en la Ley de Hacienda Municipal aplicable.</w:t>
      </w:r>
    </w:p>
    <w:p>
      <w:pPr>
        <w:pStyle w:val="Heading3"/>
        <w:spacing w:after="120" w:before="240"/>
      </w:pPr>
      <w:r>
        <w:rPr>
          <w:rFonts w:ascii="Arial" w:cs="Arial" w:eastAsia="Arial" w:hAnsi="Arial"/>
          <w:b/>
          <w:bCs/>
          <w:color w:val="333333"/>
          <w:sz w:val="22"/>
          <w:szCs w:val="22"/>
        </w:rPr>
        <w:t xml:space="preserve">Justificación del Adendo C</w:t>
      </w:r>
    </w:p>
    <w:p>
      <w:pPr>
        <w:spacing w:after="120" w:before="120"/>
      </w:pPr>
      <w:r>
        <w:rPr>
          <w:rFonts w:ascii="Arial" w:cs="Arial" w:eastAsia="Arial" w:hAnsi="Arial"/>
          <w:color w:val="333333"/>
          <w:sz w:val="22"/>
          <w:szCs w:val="22"/>
        </w:rPr>
        <w:t xml:space="preserve">La experiencia comparada de municipios mexicanos demuestra que los programas exclusivamente coercitivos presentan menor cumplimiento que aquellos que combinan obligación con incentivos. El adendo propuesto establece dos tipos de incentivos: reconocimiento formal a colonias y unidades habitacionales con alto cumplimiento, y descuentos en el cobro del derecho de limpia para casos verificables. La implementación específica se desarrolla en la fase de Planeación.</w:t>
      </w:r>
    </w:p>
    <w:p>
      <w:r>
        <w:br w:type="page"/>
      </w:r>
    </w:p>
    <w:p>
      <w:pPr>
        <w:pStyle w:val="Heading1"/>
        <w:spacing w:after="240" w:before="480"/>
      </w:pPr>
      <w:r>
        <w:rPr>
          <w:rFonts w:ascii="Arial" w:cs="Arial" w:eastAsia="Arial" w:hAnsi="Arial"/>
          <w:b/>
          <w:bCs/>
          <w:color w:val="1a1a1a"/>
          <w:sz w:val="36"/>
          <w:szCs w:val="36"/>
        </w:rPr>
        <w:t xml:space="preserve">7. Costo de no actuar</w:t>
      </w:r>
    </w:p>
    <w:p>
      <w:pPr>
        <w:pStyle w:val="Heading2"/>
        <w:spacing w:after="180" w:before="360"/>
      </w:pPr>
      <w:r>
        <w:rPr>
          <w:rFonts w:ascii="Arial" w:cs="Arial" w:eastAsia="Arial" w:hAnsi="Arial"/>
          <w:b/>
          <w:bCs/>
          <w:color w:val="1a1a1a"/>
          <w:sz w:val="26"/>
          <w:szCs w:val="26"/>
        </w:rPr>
        <w:t xml:space="preserve">7.1 Costos directos del manejo actual</w:t>
      </w:r>
    </w:p>
    <w:p>
      <w:pPr>
        <w:spacing w:after="120" w:before="120"/>
      </w:pPr>
      <w:r>
        <w:rPr>
          <w:rFonts w:ascii="Arial" w:cs="Arial" w:eastAsia="Arial" w:hAnsi="Arial"/>
          <w:color w:val="333333"/>
          <w:sz w:val="22"/>
          <w:szCs w:val="22"/>
        </w:rPr>
        <w:t xml:space="preserve">El costo anual del servicio actual de recolección, transporte y disposición final asciende a [COSTO_OPERATIVO_ANUAL] pesos según el Presupuesto de Egresos vigente. Este monto, sin intervención del programa propuesto, escala año tras año debido al crecimiento poblacional proyectado por CONAPO y a la inflación reportada por INEGI.</w:t>
      </w:r>
    </w:p>
    <w:p>
      <w:pPr>
        <w:pStyle w:val="Heading2"/>
        <w:spacing w:after="180" w:before="360"/>
      </w:pPr>
      <w:r>
        <w:rPr>
          <w:rFonts w:ascii="Arial" w:cs="Arial" w:eastAsia="Arial" w:hAnsi="Arial"/>
          <w:b/>
          <w:bCs/>
          <w:color w:val="1a1a1a"/>
          <w:sz w:val="26"/>
          <w:szCs w:val="26"/>
        </w:rPr>
        <w:t xml:space="preserve">7.2 Costos indirectos del no-actuar</w:t>
      </w:r>
    </w:p>
    <w:p>
      <w:pPr>
        <w:spacing w:after="120" w:before="120"/>
      </w:pPr>
      <w:r>
        <w:rPr>
          <w:rFonts w:ascii="Arial" w:cs="Arial" w:eastAsia="Arial" w:hAnsi="Arial"/>
          <w:color w:val="333333"/>
          <w:sz w:val="22"/>
          <w:szCs w:val="22"/>
        </w:rPr>
        <w:t xml:space="preserve">Adicional a los costos directos, el manejo convencional genera externalidades cuantificables. Las emisiones de metano del sitio de disposición se calculan según factores IPCC AR6. Los costos de remediación ambiental por sitios mal manejados se proyectan según experiencia comparada. El costo de oportunidad de materiales valorizables no recuperados se estima con precios de mercado de la industria del reciclaje. El detalle de cálculos se presenta en el Anexo J.</w:t>
      </w:r>
    </w:p>
    <w:p>
      <w:pPr>
        <w:pStyle w:val="Heading2"/>
        <w:spacing w:after="180" w:before="360"/>
      </w:pPr>
      <w:r>
        <w:rPr>
          <w:rFonts w:ascii="Arial" w:cs="Arial" w:eastAsia="Arial" w:hAnsi="Arial"/>
          <w:b/>
          <w:bCs/>
          <w:color w:val="1a1a1a"/>
          <w:sz w:val="26"/>
          <w:szCs w:val="26"/>
        </w:rPr>
        <w:t xml:space="preserve">7.3 Acumulado a 10 años</w:t>
      </w:r>
    </w:p>
    <w:p>
      <w:pPr>
        <w:spacing w:after="120" w:before="120"/>
      </w:pPr>
      <w:r>
        <w:rPr>
          <w:rFonts w:ascii="Arial" w:cs="Arial" w:eastAsia="Arial" w:hAnsi="Arial"/>
          <w:color w:val="333333"/>
          <w:sz w:val="22"/>
          <w:szCs w:val="22"/>
        </w:rPr>
        <w:t xml:space="preserve">Proyectando los costos directos e indirectos con tasa de crecimiento poblacional CONAPO y tasa de descuento SHCP, el costo acumulado de no actuar durante el horizonte de 10 años asciende a [COSTO_10_ANOS] pesos. Comparado con el escenario de actuar bajo el programa propuesto, el ahorro neto se estima en [AHORRO_NETO] pesos durante el mismo periodo.</w:t>
      </w:r>
    </w:p>
    <w:p>
      <w:r>
        <w:br w:type="page"/>
      </w:r>
    </w:p>
    <w:p>
      <w:pPr>
        <w:pStyle w:val="Heading1"/>
        <w:spacing w:after="240" w:before="480"/>
      </w:pPr>
      <w:r>
        <w:rPr>
          <w:rFonts w:ascii="Arial" w:cs="Arial" w:eastAsia="Arial" w:hAnsi="Arial"/>
          <w:b/>
          <w:bCs/>
          <w:color w:val="1a1a1a"/>
          <w:sz w:val="36"/>
          <w:szCs w:val="36"/>
        </w:rPr>
        <w:t xml:space="preserve">8. Escenarios financieros</w:t>
      </w:r>
    </w:p>
    <w:p>
      <w:pPr>
        <w:pStyle w:val="Heading2"/>
        <w:spacing w:after="180" w:before="360"/>
      </w:pPr>
      <w:r>
        <w:rPr>
          <w:rFonts w:ascii="Arial" w:cs="Arial" w:eastAsia="Arial" w:hAnsi="Arial"/>
          <w:b/>
          <w:bCs/>
          <w:color w:val="1a1a1a"/>
          <w:sz w:val="26"/>
          <w:szCs w:val="26"/>
        </w:rPr>
        <w:t xml:space="preserve">8.1 Escenario Ambicioso</w:t>
      </w:r>
    </w:p>
    <w:p>
      <w:pPr>
        <w:spacing w:after="120" w:before="120"/>
      </w:pPr>
      <w:r>
        <w:rPr>
          <w:rFonts w:ascii="Arial" w:cs="Arial" w:eastAsia="Arial" w:hAnsi="Arial"/>
          <w:color w:val="333333"/>
          <w:sz w:val="22"/>
          <w:szCs w:val="22"/>
        </w:rPr>
        <w:t xml:space="preserve">Bajo el escenario Ambicioso, el programa requiere inversión inicial CAPEX de [CAPEX_AMBICIOSO] pesos, con OPEX anual proyectado de [OPEX_AMBICIOSO] pesos. Los ingresos proyectados por valorización de materiales y aprovechamiento energético arrojan TIR de [TIR_AMBICIOSO] por ciento y VPN positivo de [VPN_AMBICIOSO] pesos a tasa SHCP. Periodo de recuperación estimado: [PAYBACK_AMBICIOSO] años.</w:t>
      </w:r>
    </w:p>
    <w:p>
      <w:pPr>
        <w:pStyle w:val="Heading2"/>
        <w:spacing w:after="180" w:before="360"/>
      </w:pPr>
      <w:r>
        <w:rPr>
          <w:rFonts w:ascii="Arial" w:cs="Arial" w:eastAsia="Arial" w:hAnsi="Arial"/>
          <w:b/>
          <w:bCs/>
          <w:color w:val="1a1a1a"/>
          <w:sz w:val="26"/>
          <w:szCs w:val="26"/>
        </w:rPr>
        <w:t xml:space="preserve">8.2 Escenario Moderado</w:t>
      </w:r>
    </w:p>
    <w:p>
      <w:pPr>
        <w:spacing w:after="120" w:before="120"/>
      </w:pPr>
      <w:r>
        <w:rPr>
          <w:rFonts w:ascii="Arial" w:cs="Arial" w:eastAsia="Arial" w:hAnsi="Arial"/>
          <w:color w:val="333333"/>
          <w:sz w:val="22"/>
          <w:szCs w:val="22"/>
        </w:rPr>
        <w:t xml:space="preserve">Bajo asunciones más conservadoras, el escenario Moderado proyecta CAPEX de [CAPEX_MODERADO] pesos y OPEX de [OPEX_MODERADO] pesos. TIR de [TIR_MODERADO] por ciento. VPN positivo de [VPN_MODERADO] pesos.</w:t>
      </w:r>
    </w:p>
    <w:p>
      <w:pPr>
        <w:pStyle w:val="Heading2"/>
        <w:spacing w:after="180" w:before="360"/>
      </w:pPr>
      <w:r>
        <w:rPr>
          <w:rFonts w:ascii="Arial" w:cs="Arial" w:eastAsia="Arial" w:hAnsi="Arial"/>
          <w:b/>
          <w:bCs/>
          <w:color w:val="1a1a1a"/>
          <w:sz w:val="26"/>
          <w:szCs w:val="26"/>
        </w:rPr>
        <w:t xml:space="preserve">8.3 Escenario Conservador</w:t>
      </w:r>
    </w:p>
    <w:p>
      <w:pPr>
        <w:spacing w:after="120" w:before="120"/>
      </w:pPr>
      <w:r>
        <w:rPr>
          <w:rFonts w:ascii="Arial" w:cs="Arial" w:eastAsia="Arial" w:hAnsi="Arial"/>
          <w:color w:val="333333"/>
          <w:sz w:val="22"/>
          <w:szCs w:val="22"/>
        </w:rPr>
        <w:t xml:space="preserve">El escenario Conservador toma asunciones mínimas garantizables. CAPEX de [CAPEX_CONSERVADOR] pesos, OPEX de [OPEX_CONSERVADOR] pesos, TIR de [TIR_CONSERVADOR] por ciento. Aun en este escenario la TIR resulta positiva y superior a la tasa de descuento SHCP.</w:t>
      </w:r>
    </w:p>
    <w:p>
      <w:pPr>
        <w:pStyle w:val="Heading2"/>
        <w:spacing w:after="180" w:before="360"/>
      </w:pPr>
      <w:r>
        <w:rPr>
          <w:rFonts w:ascii="Arial" w:cs="Arial" w:eastAsia="Arial" w:hAnsi="Arial"/>
          <w:b/>
          <w:bCs/>
          <w:color w:val="1a1a1a"/>
          <w:sz w:val="26"/>
          <w:szCs w:val="26"/>
        </w:rPr>
        <w:t xml:space="preserve">8.4 Análisis de sensibilidad</w:t>
      </w:r>
    </w:p>
    <w:p>
      <w:pPr>
        <w:spacing w:after="120" w:before="120"/>
      </w:pPr>
      <w:r>
        <w:rPr>
          <w:rFonts w:ascii="Arial" w:cs="Arial" w:eastAsia="Arial" w:hAnsi="Arial"/>
          <w:color w:val="333333"/>
          <w:sz w:val="22"/>
          <w:szCs w:val="22"/>
        </w:rPr>
        <w:t xml:space="preserve">Se realizó análisis de sensibilidad sobre tres parámetros críticos: precio de materiales valorizables, tasa de captura de separación en origen, y costo de oportunidad de capital. Los resultados del análisis se presentan en el Anexo K.</w:t>
      </w:r>
    </w:p>
    <w:p>
      <w:r>
        <w:br w:type="page"/>
      </w:r>
    </w:p>
    <w:p>
      <w:pPr>
        <w:pStyle w:val="Heading1"/>
        <w:spacing w:after="240" w:before="480"/>
      </w:pPr>
      <w:r>
        <w:rPr>
          <w:rFonts w:ascii="Arial" w:cs="Arial" w:eastAsia="Arial" w:hAnsi="Arial"/>
          <w:b/>
          <w:bCs/>
          <w:color w:val="1a1a1a"/>
          <w:sz w:val="36"/>
          <w:szCs w:val="36"/>
        </w:rPr>
        <w:t xml:space="preserve">9. Riesgos del programa</w:t>
      </w:r>
    </w:p>
    <w:p>
      <w:pPr>
        <w:pStyle w:val="Heading2"/>
        <w:spacing w:after="180" w:before="360"/>
      </w:pPr>
      <w:r>
        <w:rPr>
          <w:rFonts w:ascii="Arial" w:cs="Arial" w:eastAsia="Arial" w:hAnsi="Arial"/>
          <w:b/>
          <w:bCs/>
          <w:color w:val="1a1a1a"/>
          <w:sz w:val="26"/>
          <w:szCs w:val="26"/>
        </w:rPr>
        <w:t xml:space="preserve">9.1 Metodología</w:t>
      </w:r>
    </w:p>
    <w:p>
      <w:pPr>
        <w:spacing w:after="120" w:before="120"/>
      </w:pPr>
      <w:r>
        <w:rPr>
          <w:rFonts w:ascii="Arial" w:cs="Arial" w:eastAsia="Arial" w:hAnsi="Arial"/>
          <w:color w:val="333333"/>
          <w:sz w:val="22"/>
          <w:szCs w:val="22"/>
        </w:rPr>
        <w:t xml:space="preserve">El registro de riesgos se construye según metodología ISO 31000 con apoyo del marco PMBOK 7. Cada riesgo se clasifica por probabilidad e impacto en escala de 1 a 5, con producto resultante (score) que determina su severidad. El detalle completo de la matriz se presenta en el Anexo L.</w:t>
      </w:r>
    </w:p>
    <w:p>
      <w:pPr>
        <w:pStyle w:val="Heading2"/>
        <w:spacing w:after="180" w:before="360"/>
      </w:pPr>
      <w:r>
        <w:rPr>
          <w:rFonts w:ascii="Arial" w:cs="Arial" w:eastAsia="Arial" w:hAnsi="Arial"/>
          <w:b/>
          <w:bCs/>
          <w:color w:val="1a1a1a"/>
          <w:sz w:val="26"/>
          <w:szCs w:val="26"/>
        </w:rPr>
        <w:t xml:space="preserve">9.2 Riesgos principales identificados</w:t>
      </w:r>
    </w:p>
    <w:p>
      <w:pPr>
        <w:spacing w:after="120" w:before="120"/>
      </w:pPr>
      <w:r>
        <w:rPr>
          <w:rFonts w:ascii="Arial" w:cs="Arial" w:eastAsia="Arial" w:hAnsi="Arial"/>
          <w:color w:val="333333"/>
          <w:sz w:val="22"/>
          <w:szCs w:val="22"/>
        </w:rPr>
        <w:t xml:space="preserve">Los riesgos de mayor severidad para el programa se agrupan en cuatro categorías: políticos (cambio de administración, oposición en Cabildo), legales (impugnación de la reforma reglamentaria, conflicto competencial estatal-municipal), financieros (insuficiencia presupuestal, variabilidad de precios de materiales valorizables) y operativos (resistencia ciudadana, falla de equipo de recolección, no-cumplimiento de concesionario).</w:t>
      </w:r>
    </w:p>
    <w:p>
      <w:pPr>
        <w:pStyle w:val="Heading2"/>
        <w:spacing w:after="180" w:before="360"/>
      </w:pPr>
      <w:r>
        <w:rPr>
          <w:rFonts w:ascii="Arial" w:cs="Arial" w:eastAsia="Arial" w:hAnsi="Arial"/>
          <w:b/>
          <w:bCs/>
          <w:color w:val="1a1a1a"/>
          <w:sz w:val="26"/>
          <w:szCs w:val="26"/>
        </w:rPr>
        <w:t xml:space="preserve">9.3 Mitigaciones</w:t>
      </w:r>
    </w:p>
    <w:p>
      <w:pPr>
        <w:spacing w:after="120" w:before="120"/>
      </w:pPr>
      <w:r>
        <w:rPr>
          <w:rFonts w:ascii="Arial" w:cs="Arial" w:eastAsia="Arial" w:hAnsi="Arial"/>
          <w:color w:val="333333"/>
          <w:sz w:val="22"/>
          <w:szCs w:val="22"/>
        </w:rPr>
        <w:t xml:space="preserve">Para cada riesgo identificado se propone mitigación específica con responsable asignado. Las mitigaciones de mayor impacto se vinculan a hitos específicos del programa durante la fase de Planeación y Ejecución.</w:t>
      </w:r>
    </w:p>
    <w:p>
      <w:r>
        <w:br w:type="page"/>
      </w:r>
    </w:p>
    <w:p>
      <w:pPr>
        <w:pStyle w:val="Heading1"/>
        <w:spacing w:after="240" w:before="480"/>
      </w:pPr>
      <w:r>
        <w:rPr>
          <w:rFonts w:ascii="Arial" w:cs="Arial" w:eastAsia="Arial" w:hAnsi="Arial"/>
          <w:b/>
          <w:bCs/>
          <w:color w:val="1a1a1a"/>
          <w:sz w:val="36"/>
          <w:szCs w:val="36"/>
        </w:rPr>
        <w:t xml:space="preserve">10. Conclusiones y recomendaciones</w:t>
      </w:r>
    </w:p>
    <w:p>
      <w:pPr>
        <w:pStyle w:val="Heading2"/>
        <w:spacing w:after="180" w:before="360"/>
      </w:pPr>
      <w:r>
        <w:rPr>
          <w:rFonts w:ascii="Arial" w:cs="Arial" w:eastAsia="Arial" w:hAnsi="Arial"/>
          <w:b/>
          <w:bCs/>
          <w:color w:val="1a1a1a"/>
          <w:sz w:val="26"/>
          <w:szCs w:val="26"/>
        </w:rPr>
        <w:t xml:space="preserve">10.1 Conclusiones</w:t>
      </w:r>
    </w:p>
    <w:p>
      <w:pPr>
        <w:spacing w:after="120" w:before="120"/>
      </w:pPr>
      <w:r>
        <w:rPr>
          <w:rFonts w:ascii="Arial" w:cs="Arial" w:eastAsia="Arial" w:hAnsi="Arial"/>
          <w:color w:val="333333"/>
          <w:sz w:val="22"/>
          <w:szCs w:val="22"/>
        </w:rPr>
        <w:t xml:space="preserve">Primera. La transición a circularidad institucional en [MUNICIPIO] es técnicamente viable bajo el marco normativo federal y estatal vigente, con la reforma reglamentaria municipal propuesta en la sección 6.</w:t>
      </w:r>
    </w:p>
    <w:p>
      <w:pPr>
        <w:spacing w:after="120" w:before="120"/>
      </w:pPr>
      <w:r>
        <w:rPr>
          <w:rFonts w:ascii="Arial" w:cs="Arial" w:eastAsia="Arial" w:hAnsi="Arial"/>
          <w:color w:val="333333"/>
          <w:sz w:val="22"/>
          <w:szCs w:val="22"/>
        </w:rPr>
        <w:t xml:space="preserve">Segunda. La transición es financieramente sostenible bajo los tres escenarios analizados en la sección 8, con TIR positiva y VPN positivo aun en el escenario conservador.</w:t>
      </w:r>
    </w:p>
    <w:p>
      <w:pPr>
        <w:spacing w:after="120" w:before="120"/>
      </w:pPr>
      <w:r>
        <w:rPr>
          <w:rFonts w:ascii="Arial" w:cs="Arial" w:eastAsia="Arial" w:hAnsi="Arial"/>
          <w:color w:val="333333"/>
          <w:sz w:val="22"/>
          <w:szCs w:val="22"/>
        </w:rPr>
        <w:t xml:space="preserve">Tercera. Los riesgos identificados son gestionables mediante las mitigaciones específicas propuestas en la sección 9, todas con responsable asignado y vinculadas a hitos del programa.</w:t>
      </w:r>
    </w:p>
    <w:p>
      <w:pPr>
        <w:spacing w:after="120" w:before="120"/>
      </w:pPr>
      <w:r>
        <w:rPr>
          <w:rFonts w:ascii="Arial" w:cs="Arial" w:eastAsia="Arial" w:hAnsi="Arial"/>
          <w:color w:val="333333"/>
          <w:sz w:val="22"/>
          <w:szCs w:val="22"/>
        </w:rPr>
        <w:t xml:space="preserve">Cuarta. El costo de no actuar acumulado a 10 años, documentado en la sección 7, supera significativamente la inversión requerida por el programa en cualquiera de sus tres escenarios.</w:t>
      </w:r>
    </w:p>
    <w:p>
      <w:pPr>
        <w:pStyle w:val="Heading2"/>
        <w:spacing w:after="180" w:before="360"/>
      </w:pPr>
      <w:r>
        <w:rPr>
          <w:rFonts w:ascii="Arial" w:cs="Arial" w:eastAsia="Arial" w:hAnsi="Arial"/>
          <w:b/>
          <w:bCs/>
          <w:color w:val="1a1a1a"/>
          <w:sz w:val="26"/>
          <w:szCs w:val="26"/>
        </w:rPr>
        <w:t xml:space="preserve">10.2 Recomendaciones al Cabildo</w:t>
      </w:r>
    </w:p>
    <w:p>
      <w:pPr>
        <w:spacing w:after="120" w:before="120"/>
      </w:pPr>
      <w:r>
        <w:rPr>
          <w:rFonts w:ascii="Arial" w:cs="Arial" w:eastAsia="Arial" w:hAnsi="Arial"/>
          <w:color w:val="333333"/>
          <w:sz w:val="22"/>
          <w:szCs w:val="22"/>
        </w:rPr>
        <w:t xml:space="preserve">Primera. Aprobar la reforma reglamentaria propuesta en la sección 6 mediante el procedimiento legislativo municipal correspondiente.</w:t>
      </w:r>
    </w:p>
    <w:p>
      <w:pPr>
        <w:spacing w:after="120" w:before="120"/>
      </w:pPr>
      <w:r>
        <w:rPr>
          <w:rFonts w:ascii="Arial" w:cs="Arial" w:eastAsia="Arial" w:hAnsi="Arial"/>
          <w:color w:val="333333"/>
          <w:sz w:val="22"/>
          <w:szCs w:val="22"/>
        </w:rPr>
        <w:t xml:space="preserve">Segunda. Asignar partida presupuestal específica para la fase de Implementación del programa en el próximo ejercicio fiscal, con monto correspondiente al escenario que el Ayuntamiento determine en deliberación.</w:t>
      </w:r>
    </w:p>
    <w:p>
      <w:pPr>
        <w:spacing w:after="120" w:before="120"/>
      </w:pPr>
      <w:r>
        <w:rPr>
          <w:rFonts w:ascii="Arial" w:cs="Arial" w:eastAsia="Arial" w:hAnsi="Arial"/>
          <w:color w:val="333333"/>
          <w:sz w:val="22"/>
          <w:szCs w:val="22"/>
        </w:rPr>
        <w:t xml:space="preserve">Tercera. Crear el Comité de Seguimiento del Programa, integrado por representantes del Cabildo, la Dirección de Servicios Públicos, organizaciones de la sociedad civil y el sector privado, con sesiones trimestrales documentadas.</w:t>
      </w:r>
    </w:p>
    <w:p>
      <w:pPr>
        <w:spacing w:after="120" w:before="120"/>
      </w:pPr>
      <w:r>
        <w:rPr>
          <w:rFonts w:ascii="Arial" w:cs="Arial" w:eastAsia="Arial" w:hAnsi="Arial"/>
          <w:color w:val="333333"/>
          <w:sz w:val="22"/>
          <w:szCs w:val="22"/>
        </w:rPr>
        <w:t xml:space="preserve">Cuarta. Suscribir el convenio de acompañamiento con la Plataforma Alquimia para las fases de Planeación e Implementación, conforme a los términos comerciales que se presentarán como anexo del acta de Cabildo correspondiente.</w:t>
      </w:r>
    </w:p>
    <w:p>
      <w:r>
        <w:br w:type="page"/>
      </w:r>
    </w:p>
    <w:p>
      <w:pPr>
        <w:pStyle w:val="Heading1"/>
        <w:spacing w:after="240" w:before="480"/>
      </w:pPr>
      <w:r>
        <w:rPr>
          <w:rFonts w:ascii="Arial" w:cs="Arial" w:eastAsia="Arial" w:hAnsi="Arial"/>
          <w:b/>
          <w:bCs/>
          <w:color w:val="1a1a1a"/>
          <w:sz w:val="36"/>
          <w:szCs w:val="36"/>
        </w:rPr>
        <w:t xml:space="preserve">11. Bibliografía</w:t>
      </w:r>
    </w:p>
    <w:p>
      <w:pPr>
        <w:spacing w:after="120" w:before="120"/>
      </w:pPr>
      <w:r>
        <w:rPr>
          <w:rFonts w:ascii="Arial" w:cs="Arial" w:eastAsia="Arial" w:hAnsi="Arial"/>
          <w:i/>
          <w:iCs/>
          <w:color w:val="555555"/>
          <w:sz w:val="20"/>
          <w:szCs w:val="20"/>
        </w:rPr>
        <w:t xml:space="preserve">La bibliografía se compila automáticamente con las citas utilizadas a lo largo del documento. Formato Alquimia adaptado de Chicago notes-bibliography. A continuación se enlistan las fuentes principales por orden alfabético de institución emisora.</w:t>
      </w:r>
    </w:p>
    <w:p>
      <w:pPr>
        <w:spacing w:before="240"/>
      </w:pPr>
    </w:p>
    <w:p>
      <w:pPr>
        <w:spacing w:after="120" w:before="120"/>
      </w:pPr>
      <w:r>
        <w:rPr>
          <w:rFonts w:ascii="Arial" w:cs="Arial" w:eastAsia="Arial" w:hAnsi="Arial"/>
          <w:color w:val="333333"/>
          <w:sz w:val="22"/>
          <w:szCs w:val="22"/>
        </w:rPr>
        <w:t xml:space="preserve">Banco Mundial. What a Waste 3.0: A Global Snapshot of Solid Waste Management to 2050. Washington D.C.: World Bank Publications, 2024. https://datacatalog.worldbank.org/dataset/what-waste-global-database.</w:t>
      </w:r>
    </w:p>
    <w:p>
      <w:pPr>
        <w:spacing w:after="120" w:before="120"/>
      </w:pPr>
      <w:r>
        <w:rPr>
          <w:rFonts w:ascii="Arial" w:cs="Arial" w:eastAsia="Arial" w:hAnsi="Arial"/>
          <w:color w:val="333333"/>
          <w:sz w:val="22"/>
          <w:szCs w:val="22"/>
        </w:rPr>
        <w:t xml:space="preserve">CONAPO. Proyecciones de la Población de México y de las Entidades Federativas, 2020-2070. Ciudad de México: Consejo Nacional de Población, 2023. https://www.gob.mx/conapo/documentos/proyecciones-de-la-poblacion-de-mexico-y-de-las-entidades-federativas-2020-2070.</w:t>
      </w:r>
    </w:p>
    <w:p>
      <w:pPr>
        <w:spacing w:after="120" w:before="120"/>
      </w:pPr>
      <w:r>
        <w:rPr>
          <w:rFonts w:ascii="Arial" w:cs="Arial" w:eastAsia="Arial" w:hAnsi="Arial"/>
          <w:color w:val="333333"/>
          <w:sz w:val="22"/>
          <w:szCs w:val="22"/>
        </w:rPr>
        <w:t xml:space="preserve">Diario Oficial de la Federación. Ley General para la Prevención y Gestión Integral de los Residuos. México: Cámara de Diputados, última reforma 2023.</w:t>
      </w:r>
    </w:p>
    <w:p>
      <w:pPr>
        <w:spacing w:after="120" w:before="120"/>
      </w:pPr>
      <w:r>
        <w:rPr>
          <w:rFonts w:ascii="Arial" w:cs="Arial" w:eastAsia="Arial" w:hAnsi="Arial"/>
          <w:color w:val="333333"/>
          <w:sz w:val="22"/>
          <w:szCs w:val="22"/>
        </w:rPr>
        <w:t xml:space="preserve">Global Reporting Initiative. GRI 306: Residuos 2020. Estándar de Reporte de Sostenibilidad. Ámsterdam: GRI, 2020. https://www.globalreporting.org/standards/.</w:t>
      </w:r>
    </w:p>
    <w:p>
      <w:pPr>
        <w:spacing w:after="120" w:before="120"/>
      </w:pPr>
      <w:r>
        <w:rPr>
          <w:rFonts w:ascii="Arial" w:cs="Arial" w:eastAsia="Arial" w:hAnsi="Arial"/>
          <w:color w:val="333333"/>
          <w:sz w:val="22"/>
          <w:szCs w:val="22"/>
        </w:rPr>
        <w:t xml:space="preserve">INEGI. Censo de Población y Vivienda 2020: Datos por Municipio. Aguascalientes: Instituto Nacional de Estadística y Geografía, 2021. https://www.inegi.org.mx/programas/ccpv/2020/.</w:t>
      </w:r>
    </w:p>
    <w:p>
      <w:pPr>
        <w:spacing w:after="120" w:before="120"/>
      </w:pPr>
      <w:r>
        <w:rPr>
          <w:rFonts w:ascii="Arial" w:cs="Arial" w:eastAsia="Arial" w:hAnsi="Arial"/>
          <w:color w:val="333333"/>
          <w:sz w:val="22"/>
          <w:szCs w:val="22"/>
        </w:rPr>
        <w:t xml:space="preserve">INEGI. Marco Geoestadístico Nacional 2024. Aguascalientes: INEGI, 2024.</w:t>
      </w:r>
    </w:p>
    <w:p>
      <w:pPr>
        <w:spacing w:after="120" w:before="120"/>
      </w:pPr>
      <w:r>
        <w:rPr>
          <w:rFonts w:ascii="Arial" w:cs="Arial" w:eastAsia="Arial" w:hAnsi="Arial"/>
          <w:color w:val="333333"/>
          <w:sz w:val="22"/>
          <w:szCs w:val="22"/>
        </w:rPr>
        <w:t xml:space="preserve">IPCC. Sixth Assessment Report (AR6): Climate Change 2021. Geneva: Intergovernmental Panel on Climate Change, 2021.</w:t>
      </w:r>
    </w:p>
    <w:p>
      <w:pPr>
        <w:spacing w:after="120" w:before="120"/>
      </w:pPr>
      <w:r>
        <w:rPr>
          <w:rFonts w:ascii="Arial" w:cs="Arial" w:eastAsia="Arial" w:hAnsi="Arial"/>
          <w:color w:val="333333"/>
          <w:sz w:val="22"/>
          <w:szCs w:val="22"/>
        </w:rPr>
        <w:t xml:space="preserve">ISO. ISO 31000:2018 Gestión del Riesgo - Directrices. Ginebra: International Organization for Standardization, 2018.</w:t>
      </w:r>
    </w:p>
    <w:p>
      <w:pPr>
        <w:spacing w:after="120" w:before="120"/>
      </w:pPr>
      <w:r>
        <w:rPr>
          <w:rFonts w:ascii="Arial" w:cs="Arial" w:eastAsia="Arial" w:hAnsi="Arial"/>
          <w:color w:val="333333"/>
          <w:sz w:val="22"/>
          <w:szCs w:val="22"/>
        </w:rPr>
        <w:t xml:space="preserve">PMI. A Guide to the Project Management Body of Knowledge (PMBOK Guide) – Séptima edición. Newtown Square: Project Management Institute, 2021.</w:t>
      </w:r>
    </w:p>
    <w:p>
      <w:pPr>
        <w:spacing w:after="120" w:before="120"/>
      </w:pPr>
      <w:r>
        <w:rPr>
          <w:rFonts w:ascii="Arial" w:cs="Arial" w:eastAsia="Arial" w:hAnsi="Arial"/>
          <w:color w:val="333333"/>
          <w:sz w:val="22"/>
          <w:szCs w:val="22"/>
        </w:rPr>
        <w:t xml:space="preserve">SCT/SECOFI. NMX-AA-015-1985: Protección al Ambiente - Contaminación del Suelo - Residuos Sólidos Municipales - Muestreo - Método de Cuarteo. México: Secretaría de Comercio y Fomento Industrial, 1985.</w:t>
      </w:r>
    </w:p>
    <w:p>
      <w:pPr>
        <w:spacing w:after="120" w:before="120"/>
      </w:pPr>
      <w:r>
        <w:rPr>
          <w:rFonts w:ascii="Arial" w:cs="Arial" w:eastAsia="Arial" w:hAnsi="Arial"/>
          <w:color w:val="333333"/>
          <w:sz w:val="22"/>
          <w:szCs w:val="22"/>
        </w:rPr>
        <w:t xml:space="preserve">SEMARNAT. NOM-083-SEMARNAT-2003: Especificaciones de protección ambiental para la selección del sitio, diseño, construcción, operación, monitoreo, clausura y obras complementarias de un sitio de disposición final de residuos sólidos urbanos y de manejo especial. Ciudad de México: Secretaría de Medio Ambiente y Recursos Naturales, 2004.</w:t>
      </w:r>
    </w:p>
    <w:p>
      <w:pPr>
        <w:spacing w:after="120" w:before="120"/>
      </w:pPr>
      <w:r>
        <w:rPr>
          <w:rFonts w:ascii="Arial" w:cs="Arial" w:eastAsia="Arial" w:hAnsi="Arial"/>
          <w:color w:val="333333"/>
          <w:sz w:val="22"/>
          <w:szCs w:val="22"/>
        </w:rPr>
        <w:t xml:space="preserve">SHCP. Tasas de Descuento Aplicables para Evaluación Socioeconómica de Proyectos. Ciudad de México: Secretaría de Hacienda y Crédito Público, vigente.</w:t>
      </w:r>
    </w:p>
    <w:p>
      <w:r>
        <w:br w:type="page"/>
      </w:r>
    </w:p>
    <w:p>
      <w:pPr>
        <w:pStyle w:val="Heading1"/>
        <w:spacing w:after="240" w:before="480"/>
      </w:pPr>
      <w:r>
        <w:rPr>
          <w:rFonts w:ascii="Arial" w:cs="Arial" w:eastAsia="Arial" w:hAnsi="Arial"/>
          <w:b/>
          <w:bCs/>
          <w:color w:val="1a1a1a"/>
          <w:sz w:val="36"/>
          <w:szCs w:val="36"/>
        </w:rPr>
        <w:t xml:space="preserve">12. Anexos</w:t>
      </w:r>
    </w:p>
    <w:p>
      <w:pPr>
        <w:spacing w:after="120" w:before="120"/>
      </w:pPr>
      <w:r>
        <w:rPr>
          <w:rFonts w:ascii="Arial" w:cs="Arial" w:eastAsia="Arial" w:hAnsi="Arial"/>
          <w:i/>
          <w:iCs/>
          <w:color w:val="555555"/>
          <w:sz w:val="20"/>
          <w:szCs w:val="20"/>
        </w:rPr>
        <w:t xml:space="preserve">Los anexos del expediente se compilan automáticamente con los documentos aportados por el municipio durante la fase de Validación. Cada anexo lleva su clasificación y cita de procedencia.</w:t>
      </w:r>
    </w:p>
    <w:p>
      <w:pPr>
        <w:spacing w:before="240"/>
      </w:pPr>
    </w:p>
    <w:p>
      <w:pPr>
        <w:pStyle w:val="Heading3"/>
        <w:spacing w:after="120" w:before="240"/>
      </w:pPr>
      <w:r>
        <w:rPr>
          <w:rFonts w:ascii="Arial" w:cs="Arial" w:eastAsia="Arial" w:hAnsi="Arial"/>
          <w:b/>
          <w:bCs/>
          <w:color w:val="333333"/>
          <w:sz w:val="22"/>
          <w:szCs w:val="22"/>
        </w:rPr>
        <w:t xml:space="preserve">Anexo A. Datos básicos territoriales y demográficos</w:t>
      </w:r>
    </w:p>
    <w:p>
      <w:pPr>
        <w:spacing w:after="120" w:before="120"/>
      </w:pPr>
      <w:r>
        <w:rPr>
          <w:rFonts w:ascii="Arial" w:cs="Arial" w:eastAsia="Arial" w:hAnsi="Arial"/>
          <w:color w:val="333333"/>
          <w:sz w:val="22"/>
          <w:szCs w:val="22"/>
        </w:rPr>
        <w:t xml:space="preserve">Cartografía municipal, distribución por colonias, indicadores demográficos detallados. Fuente: INEGI Censo 2020 + Marco Geoestadístico Nacional.</w:t>
      </w:r>
    </w:p>
    <w:p>
      <w:pPr>
        <w:pStyle w:val="Heading3"/>
        <w:spacing w:after="120" w:before="240"/>
      </w:pPr>
      <w:r>
        <w:rPr>
          <w:rFonts w:ascii="Arial" w:cs="Arial" w:eastAsia="Arial" w:hAnsi="Arial"/>
          <w:b/>
          <w:bCs/>
          <w:color w:val="333333"/>
          <w:sz w:val="22"/>
          <w:szCs w:val="22"/>
        </w:rPr>
        <w:t xml:space="preserve">Anexo B. Acta de instalación del Ayuntamiento</w:t>
      </w:r>
    </w:p>
    <w:p>
      <w:pPr>
        <w:spacing w:after="120" w:before="120"/>
      </w:pPr>
      <w:r>
        <w:rPr>
          <w:rFonts w:ascii="Arial" w:cs="Arial" w:eastAsia="Arial" w:hAnsi="Arial"/>
          <w:color w:val="333333"/>
          <w:sz w:val="22"/>
          <w:szCs w:val="22"/>
        </w:rPr>
        <w:t xml:space="preserve">Documento institucional aportado por el municipio. Contiene composición del Cabildo, comisiones permanentes y posicionamiento inicial sobre RSU.</w:t>
      </w:r>
    </w:p>
    <w:p>
      <w:pPr>
        <w:pStyle w:val="Heading3"/>
        <w:spacing w:after="120" w:before="240"/>
      </w:pPr>
      <w:r>
        <w:rPr>
          <w:rFonts w:ascii="Arial" w:cs="Arial" w:eastAsia="Arial" w:hAnsi="Arial"/>
          <w:b/>
          <w:bCs/>
          <w:color w:val="333333"/>
          <w:sz w:val="22"/>
          <w:szCs w:val="22"/>
        </w:rPr>
        <w:t xml:space="preserve">Anexo C. Marco normativo municipal vigente</w:t>
      </w:r>
    </w:p>
    <w:p>
      <w:pPr>
        <w:spacing w:after="120" w:before="120"/>
      </w:pPr>
      <w:r>
        <w:rPr>
          <w:rFonts w:ascii="Arial" w:cs="Arial" w:eastAsia="Arial" w:hAnsi="Arial"/>
          <w:color w:val="333333"/>
          <w:sz w:val="22"/>
          <w:szCs w:val="22"/>
        </w:rPr>
        <w:t xml:space="preserve">Reglamento de Limpia vigente, Plan Municipal de Desarrollo, Bando de policía y buen gobierno. Todos publicados en Periódico Oficial del Estado.</w:t>
      </w:r>
    </w:p>
    <w:p>
      <w:pPr>
        <w:pStyle w:val="Heading3"/>
        <w:spacing w:after="120" w:before="240"/>
      </w:pPr>
      <w:r>
        <w:rPr>
          <w:rFonts w:ascii="Arial" w:cs="Arial" w:eastAsia="Arial" w:hAnsi="Arial"/>
          <w:b/>
          <w:bCs/>
          <w:color w:val="333333"/>
          <w:sz w:val="22"/>
          <w:szCs w:val="22"/>
        </w:rPr>
        <w:t xml:space="preserve">Anexo D. Tabla de composición de residuos</w:t>
      </w:r>
    </w:p>
    <w:p>
      <w:pPr>
        <w:spacing w:after="120" w:before="120"/>
      </w:pPr>
      <w:r>
        <w:rPr>
          <w:rFonts w:ascii="Arial" w:cs="Arial" w:eastAsia="Arial" w:hAnsi="Arial"/>
          <w:color w:val="333333"/>
          <w:sz w:val="22"/>
          <w:szCs w:val="22"/>
        </w:rPr>
        <w:t xml:space="preserve">Composición porcentual por fracción con su sello de origen (calculado con benchmarks Banco Mundial o medido con cuarteo NMX-AA-015 si está disponible).</w:t>
      </w:r>
    </w:p>
    <w:p>
      <w:pPr>
        <w:pStyle w:val="Heading3"/>
        <w:spacing w:after="120" w:before="240"/>
      </w:pPr>
      <w:r>
        <w:rPr>
          <w:rFonts w:ascii="Arial" w:cs="Arial" w:eastAsia="Arial" w:hAnsi="Arial"/>
          <w:b/>
          <w:bCs/>
          <w:color w:val="333333"/>
          <w:sz w:val="22"/>
          <w:szCs w:val="22"/>
        </w:rPr>
        <w:t xml:space="preserve">Anexo E. Operación actual del servicio</w:t>
      </w:r>
    </w:p>
    <w:p>
      <w:pPr>
        <w:spacing w:after="120" w:before="120"/>
      </w:pPr>
      <w:r>
        <w:rPr>
          <w:rFonts w:ascii="Arial" w:cs="Arial" w:eastAsia="Arial" w:hAnsi="Arial"/>
          <w:color w:val="333333"/>
          <w:sz w:val="22"/>
          <w:szCs w:val="22"/>
        </w:rPr>
        <w:t xml:space="preserve">Detalle de rutas, vehículos, frecuencia por zona, datos del concesionario si aplica.</w:t>
      </w:r>
    </w:p>
    <w:p>
      <w:pPr>
        <w:pStyle w:val="Heading3"/>
        <w:spacing w:after="120" w:before="240"/>
      </w:pPr>
      <w:r>
        <w:rPr>
          <w:rFonts w:ascii="Arial" w:cs="Arial" w:eastAsia="Arial" w:hAnsi="Arial"/>
          <w:b/>
          <w:bCs/>
          <w:color w:val="333333"/>
          <w:sz w:val="22"/>
          <w:szCs w:val="22"/>
        </w:rPr>
        <w:t xml:space="preserve">Anexo F. Documentación del sitio de disposición final</w:t>
      </w:r>
    </w:p>
    <w:p>
      <w:pPr>
        <w:spacing w:after="120" w:before="120"/>
      </w:pPr>
      <w:r>
        <w:rPr>
          <w:rFonts w:ascii="Arial" w:cs="Arial" w:eastAsia="Arial" w:hAnsi="Arial"/>
          <w:color w:val="333333"/>
          <w:sz w:val="22"/>
          <w:szCs w:val="22"/>
        </w:rPr>
        <w:t xml:space="preserve">Título de operación, manifestación de impacto ambiental, evidencia de cumplimiento NOM-083-SEMARNAT-2003.</w:t>
      </w:r>
    </w:p>
    <w:p>
      <w:pPr>
        <w:pStyle w:val="Heading3"/>
        <w:spacing w:after="120" w:before="240"/>
      </w:pPr>
      <w:r>
        <w:rPr>
          <w:rFonts w:ascii="Arial" w:cs="Arial" w:eastAsia="Arial" w:hAnsi="Arial"/>
          <w:b/>
          <w:bCs/>
          <w:color w:val="333333"/>
          <w:sz w:val="22"/>
          <w:szCs w:val="22"/>
        </w:rPr>
        <w:t xml:space="preserve">Anexo G. Mapa de actores institucionales</w:t>
      </w:r>
    </w:p>
    <w:p>
      <w:pPr>
        <w:spacing w:after="120" w:before="120"/>
      </w:pPr>
      <w:r>
        <w:rPr>
          <w:rFonts w:ascii="Arial" w:cs="Arial" w:eastAsia="Arial" w:hAnsi="Arial"/>
          <w:color w:val="333333"/>
          <w:sz w:val="22"/>
          <w:szCs w:val="22"/>
        </w:rPr>
        <w:t xml:space="preserve">Listado completo con responsabilidades específicas en el programa.</w:t>
      </w:r>
    </w:p>
    <w:p>
      <w:pPr>
        <w:pStyle w:val="Heading3"/>
        <w:spacing w:after="120" w:before="240"/>
      </w:pPr>
      <w:r>
        <w:rPr>
          <w:rFonts w:ascii="Arial" w:cs="Arial" w:eastAsia="Arial" w:hAnsi="Arial"/>
          <w:b/>
          <w:bCs/>
          <w:color w:val="333333"/>
          <w:sz w:val="22"/>
          <w:szCs w:val="22"/>
        </w:rPr>
        <w:t xml:space="preserve">Anexo H. Documentación financiera</w:t>
      </w:r>
    </w:p>
    <w:p>
      <w:pPr>
        <w:spacing w:after="120" w:before="120"/>
      </w:pPr>
      <w:r>
        <w:rPr>
          <w:rFonts w:ascii="Arial" w:cs="Arial" w:eastAsia="Arial" w:hAnsi="Arial"/>
          <w:color w:val="333333"/>
          <w:sz w:val="22"/>
          <w:szCs w:val="22"/>
        </w:rPr>
        <w:t xml:space="preserve">Cuenta Pública del último ejercicio, calificación crediticia si existe, dictamen de tesorería.</w:t>
      </w:r>
    </w:p>
    <w:p>
      <w:pPr>
        <w:pStyle w:val="Heading3"/>
        <w:spacing w:after="120" w:before="240"/>
      </w:pPr>
      <w:r>
        <w:rPr>
          <w:rFonts w:ascii="Arial" w:cs="Arial" w:eastAsia="Arial" w:hAnsi="Arial"/>
          <w:b/>
          <w:bCs/>
          <w:color w:val="333333"/>
          <w:sz w:val="22"/>
          <w:szCs w:val="22"/>
        </w:rPr>
        <w:t xml:space="preserve">Anexo I. Tabla comparativa de brechas reglamentarias</w:t>
      </w:r>
    </w:p>
    <w:p>
      <w:pPr>
        <w:spacing w:after="120" w:before="120"/>
      </w:pPr>
      <w:r>
        <w:rPr>
          <w:rFonts w:ascii="Arial" w:cs="Arial" w:eastAsia="Arial" w:hAnsi="Arial"/>
          <w:color w:val="333333"/>
          <w:sz w:val="22"/>
          <w:szCs w:val="22"/>
        </w:rPr>
        <w:t xml:space="preserve">Artículo del reglamento vigente versus artículo propuesto, con identificación de la brecha que cierra cada uno.</w:t>
      </w:r>
    </w:p>
    <w:p>
      <w:pPr>
        <w:pStyle w:val="Heading3"/>
        <w:spacing w:after="120" w:before="240"/>
      </w:pPr>
      <w:r>
        <w:rPr>
          <w:rFonts w:ascii="Arial" w:cs="Arial" w:eastAsia="Arial" w:hAnsi="Arial"/>
          <w:b/>
          <w:bCs/>
          <w:color w:val="333333"/>
          <w:sz w:val="22"/>
          <w:szCs w:val="22"/>
        </w:rPr>
        <w:t xml:space="preserve">Anexo J. Cálculo detallado del costo de no actuar</w:t>
      </w:r>
    </w:p>
    <w:p>
      <w:pPr>
        <w:spacing w:after="120" w:before="120"/>
      </w:pPr>
      <w:r>
        <w:rPr>
          <w:rFonts w:ascii="Arial" w:cs="Arial" w:eastAsia="Arial" w:hAnsi="Arial"/>
          <w:color w:val="333333"/>
          <w:sz w:val="22"/>
          <w:szCs w:val="22"/>
        </w:rPr>
        <w:t xml:space="preserve">Fórmulas, supuestos, fuentes que alimentan cada cifra de la sección 7.</w:t>
      </w:r>
    </w:p>
    <w:p>
      <w:pPr>
        <w:pStyle w:val="Heading3"/>
        <w:spacing w:after="120" w:before="240"/>
      </w:pPr>
      <w:r>
        <w:rPr>
          <w:rFonts w:ascii="Arial" w:cs="Arial" w:eastAsia="Arial" w:hAnsi="Arial"/>
          <w:b/>
          <w:bCs/>
          <w:color w:val="333333"/>
          <w:sz w:val="22"/>
          <w:szCs w:val="22"/>
        </w:rPr>
        <w:t xml:space="preserve">Anexo K. Análisis de sensibilidad de los escenarios financieros</w:t>
      </w:r>
    </w:p>
    <w:p>
      <w:pPr>
        <w:spacing w:after="120" w:before="120"/>
      </w:pPr>
      <w:r>
        <w:rPr>
          <w:rFonts w:ascii="Arial" w:cs="Arial" w:eastAsia="Arial" w:hAnsi="Arial"/>
          <w:color w:val="333333"/>
          <w:sz w:val="22"/>
          <w:szCs w:val="22"/>
        </w:rPr>
        <w:t xml:space="preserve">Variación de TIR, VPN y payback ante cambios en parámetros críticos.</w:t>
      </w:r>
    </w:p>
    <w:p>
      <w:pPr>
        <w:pStyle w:val="Heading3"/>
        <w:spacing w:after="120" w:before="240"/>
      </w:pPr>
      <w:r>
        <w:rPr>
          <w:rFonts w:ascii="Arial" w:cs="Arial" w:eastAsia="Arial" w:hAnsi="Arial"/>
          <w:b/>
          <w:bCs/>
          <w:color w:val="333333"/>
          <w:sz w:val="22"/>
          <w:szCs w:val="22"/>
        </w:rPr>
        <w:t xml:space="preserve">Anexo L. Matriz completa de riesgos</w:t>
      </w:r>
    </w:p>
    <w:p>
      <w:pPr>
        <w:spacing w:after="120" w:before="120"/>
      </w:pPr>
      <w:r>
        <w:rPr>
          <w:rFonts w:ascii="Arial" w:cs="Arial" w:eastAsia="Arial" w:hAnsi="Arial"/>
          <w:color w:val="333333"/>
          <w:sz w:val="22"/>
          <w:szCs w:val="22"/>
        </w:rPr>
        <w:t xml:space="preserve">Registro detallado de riesgos con probabilidad, impacto, mitigación, responsable y plazo.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999999"/>
        <w:sz w:val="12"/>
        <w:szCs w:val="12"/>
      </w:rPr>
      <w:t xml:space="preserve">Documento elaborado con metodología Alquimia · alquimiaplatform.com/metodologia · [N_MODULOS_COMPLETOS] de 10 módulos completos · [FECHA]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rFonts w:ascii="Arial" w:cs="Arial" w:eastAsia="Arial" w:hAnsi="Arial"/>
        <w:color w:val="888888"/>
        <w:sz w:val="14"/>
        <w:szCs w:val="14"/>
      </w:rPr>
      <w:t xml:space="preserve">ALQUIMIA · Expediente de Diagnóstico · [MUNICIPIO]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de Diagnóstico para Cabildo</dc:title>
  <dc:creator>Alquimia Platform</dc:creator>
  <dc:description>Template del expediente final del Tier Diagnóstico</dc:description>
  <cp:lastModifiedBy>Un-named</cp:lastModifiedBy>
  <cp:revision>1</cp:revision>
  <dcterms:created xsi:type="dcterms:W3CDTF">2026-06-02T18:17:01.078Z</dcterms:created>
  <dcterms:modified xsi:type="dcterms:W3CDTF">2026-06-02T18:17:01.078Z</dcterms:modified>
</cp:coreProperties>
</file>

<file path=docProps/custom.xml><?xml version="1.0" encoding="utf-8"?>
<Properties xmlns="http://schemas.openxmlformats.org/officeDocument/2006/custom-properties" xmlns:vt="http://schemas.openxmlformats.org/officeDocument/2006/docPropsVTypes"/>
</file>