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2305e" w:sz="6" w:space="8"/>
        </w:pBdr>
        <w:spacing w:after="0" w:before="1400"/>
      </w:pPr>
      <w:r>
        <w:rPr>
          <w:b/>
          <w:bCs/>
          <w:color w:val="12305e"/>
          <w:sz w:val="52"/>
          <w:szCs w:val="52"/>
        </w:rPr>
        <w:t xml:space="preserve">EL COSTO DE LA DISTANCIA</w:t>
      </w:r>
    </w:p>
    <w:p>
      <w:pPr>
        <w:spacing w:after="40" w:before="160"/>
      </w:pPr>
      <w:r>
        <w:rPr>
          <w:i/>
          <w:iCs/>
          <w:color w:val="595959"/>
          <w:sz w:val="26"/>
          <w:szCs w:val="26"/>
        </w:rPr>
        <w:t xml:space="preserve">Cuánto del valor de la cosecha se lo lleva el flete a puerto</w:t>
      </w:r>
    </w:p>
    <w:p>
      <w:pPr>
        <w:spacing w:after="900"/>
      </w:pPr>
      <w:r>
        <w:rPr>
          <w:color w:val="595959"/>
          <w:sz w:val="19"/>
          <w:szCs w:val="19"/>
        </w:rPr>
        <w:t xml:space="preserve">Maíz y soja por departamento · campaña 2024/25 · tarifa FeTrA Nacional marzo 2026</w:t>
      </w:r>
    </w:p>
    <w:tbl>
      <w:tblPr>
        <w:tblW w:type="dxa" w:w="8700"/>
        <w:tblBorders>
          <w:top w:val="none"/>
          <w:left w:val="none"/>
          <w:bottom w:val="none"/>
          <w:right w:val="none"/>
          <w:insideH w:val="none"/>
          <w:insideV w:val="single" w:color="ffffff" w:sz="8"/>
        </w:tblBorders>
      </w:tblPr>
      <w:tblGrid>
        <w:gridCol w:w="2900"/>
        <w:gridCol w:w="2900"/>
        <w:gridCol w:w="2900"/>
      </w:tblGrid>
      <w:tr>
        <w:tc>
          <w:tcPr>
            <w:tcW w:type="dxa" w:w="2900"/>
            <w:shd w:fill="eef1f6" w:color="auto" w:val="clear"/>
            <w:tcMar>
              <w:top w:type="dxa" w:w="120"/>
              <w:left w:type="dxa" w:w="120"/>
              <w:bottom w:type="dxa" w:w="120"/>
              <w:right w:type="dxa" w:w="120"/>
            </w:tcMar>
          </w:tcPr>
          <w:p>
            <w:pPr>
              <w:jc w:val="center"/>
            </w:pPr>
            <w:r>
              <w:rPr>
                <w:b/>
                <w:bCs/>
                <w:color w:val="12305e"/>
                <w:sz w:val="32"/>
                <w:szCs w:val="32"/>
              </w:rPr>
              <w:t xml:space="preserve">3,7–54,3%</w:t>
            </w:r>
          </w:p>
          <w:p>
            <w:pPr>
              <w:jc w:val="center"/>
            </w:pPr>
            <w:r>
              <w:rPr>
                <w:color w:val="595959"/>
                <w:sz w:val="16"/>
                <w:szCs w:val="16"/>
              </w:rPr>
              <w:t xml:space="preserve">rango del flete sobre el valor bruto</w:t>
            </w:r>
          </w:p>
        </w:tc>
        <w:tc>
          <w:tcPr>
            <w:tcW w:type="dxa" w:w="2900"/>
            <w:shd w:fill="eef1f6" w:color="auto" w:val="clear"/>
            <w:tcMar>
              <w:top w:type="dxa" w:w="120"/>
              <w:left w:type="dxa" w:w="120"/>
              <w:bottom w:type="dxa" w:w="120"/>
              <w:right w:type="dxa" w:w="120"/>
            </w:tcMar>
          </w:tcPr>
          <w:p>
            <w:pPr>
              <w:jc w:val="center"/>
            </w:pPr>
            <w:r>
              <w:rPr>
                <w:b/>
                <w:bCs/>
                <w:color w:val="12305e"/>
                <w:sz w:val="32"/>
                <w:szCs w:val="32"/>
              </w:rPr>
              <w:t xml:space="preserve">≈US$ 4.500 M</w:t>
            </w:r>
          </w:p>
          <w:p>
            <w:pPr>
              <w:jc w:val="center"/>
            </w:pPr>
            <w:r>
              <w:rPr>
                <w:color w:val="595959"/>
                <w:sz w:val="16"/>
                <w:szCs w:val="16"/>
              </w:rPr>
              <w:t xml:space="preserve">flete a puerto · orden de magnitud</w:t>
            </w:r>
          </w:p>
        </w:tc>
        <w:tc>
          <w:tcPr>
            <w:tcW w:type="dxa" w:w="2900"/>
            <w:shd w:fill="eef1f6" w:color="auto" w:val="clear"/>
            <w:tcMar>
              <w:top w:type="dxa" w:w="120"/>
              <w:left w:type="dxa" w:w="120"/>
              <w:bottom w:type="dxa" w:w="120"/>
              <w:right w:type="dxa" w:w="120"/>
            </w:tcMar>
          </w:tcPr>
          <w:p>
            <w:pPr>
              <w:jc w:val="center"/>
            </w:pPr>
            <w:r>
              <w:rPr>
                <w:b/>
                <w:bCs/>
                <w:color w:val="12305e"/>
                <w:sz w:val="32"/>
                <w:szCs w:val="32"/>
              </w:rPr>
              <w:t xml:space="preserve">311</w:t>
            </w:r>
          </w:p>
          <w:p>
            <w:pPr>
              <w:jc w:val="center"/>
            </w:pPr>
            <w:r>
              <w:rPr>
                <w:color w:val="595959"/>
                <w:sz w:val="16"/>
                <w:szCs w:val="16"/>
              </w:rPr>
              <w:t xml:space="preserve">departamentos analizados</w:t>
            </w:r>
          </w:p>
        </w:tc>
      </w:tr>
    </w:tbl>
    <w:p>
      <w:pPr>
        <w:spacing w:before="700"/>
      </w:pPr>
      <w:r>
        <w:rPr>
          <w:b/>
          <w:bCs/>
          <w:color w:val="12305e"/>
          <w:sz w:val="26"/>
          <w:szCs w:val="26"/>
        </w:rPr>
        <w:t xml:space="preserve">Resumen ejecutivo</w:t>
      </w:r>
    </w:p>
    <w:p>
      <w:pPr>
        <w:spacing w:after="140" w:line="276"/>
        <w:jc w:val="both"/>
      </w:pPr>
      <w:r>
        <w:rPr>
          <w:sz w:val="21"/>
          <w:szCs w:val="21"/>
        </w:rPr>
        <w:t xml:space="preserve">El flete camionero hasta el puerto de embarque no es un costo uniforme: según dónde esté el lote, se lleva desde el </w:t>
      </w:r>
      <w:r>
        <w:rPr>
          <w:b/>
          <w:bCs/>
          <w:sz w:val="21"/>
          <w:szCs w:val="21"/>
        </w:rPr>
        <w:t xml:space="preserve">3,7 % del valor bruto</w:t>
      </w:r>
      <w:r>
        <w:rPr>
          <w:sz w:val="21"/>
          <w:szCs w:val="21"/>
        </w:rPr>
        <w:t xml:space="preserve"> de la mercadería (soja en el sur santafesino, a la vera del Gran Rosario) hasta el </w:t>
      </w:r>
      <w:r>
        <w:rPr>
          <w:b/>
          <w:bCs/>
          <w:sz w:val="21"/>
          <w:szCs w:val="21"/>
        </w:rPr>
        <w:t xml:space="preserve">54,3 %</w:t>
      </w:r>
      <w:r>
        <w:rPr>
          <w:sz w:val="21"/>
          <w:szCs w:val="21"/>
        </w:rPr>
        <w:t xml:space="preserve"> (maíz en el norte salteño, a casi 1.400 km del puerto).</w:t>
      </w:r>
    </w:p>
    <w:p>
      <w:pPr>
        <w:spacing w:after="140" w:line="276"/>
        <w:jc w:val="both"/>
      </w:pPr>
      <w:r>
        <w:rPr>
          <w:sz w:val="21"/>
          <w:szCs w:val="21"/>
        </w:rPr>
        <w:t xml:space="preserve">El maíz sufre proporcionalmente casi el doble que la soja: </w:t>
      </w:r>
      <w:r>
        <w:rPr>
          <w:b/>
          <w:bCs/>
          <w:sz w:val="21"/>
          <w:szCs w:val="21"/>
        </w:rPr>
        <w:t xml:space="preserve">31,5 % contra 16,6 %</w:t>
      </w:r>
      <w:r>
        <w:rPr>
          <w:sz w:val="21"/>
          <w:szCs w:val="21"/>
        </w:rPr>
        <w:t xml:space="preserve"> de promedio simple entre departamentos. La razón es de precio, no de distancia: a igual flete por tonelada, el valor bruto del maíz es mucho menor, así que el mismo camión se come una porción mayor.</w:t>
      </w:r>
    </w:p>
    <w:p>
      <w:pPr>
        <w:spacing w:after="140" w:line="276"/>
        <w:jc w:val="both"/>
      </w:pPr>
      <w:r>
        <w:rPr>
          <w:sz w:val="21"/>
          <w:szCs w:val="21"/>
        </w:rPr>
        <w:t xml:space="preserve">Ahora bien, el promedio simple trata igual a un departamento que produce cinco millones de toneladas y a uno que produce cinco mil. Ponderando por producción efectiva, los promedios bajan a </w:t>
      </w:r>
      <w:r>
        <w:rPr>
          <w:b/>
          <w:bCs/>
          <w:sz w:val="21"/>
          <w:szCs w:val="21"/>
        </w:rPr>
        <w:t xml:space="preserve">25,8 % en maíz y 12,6 % en soja</w:t>
      </w:r>
      <w:r>
        <w:rPr>
          <w:sz w:val="21"/>
          <w:szCs w:val="21"/>
        </w:rPr>
        <w:t xml:space="preserve">: el grueso del volumen nacional está cerca de los puertos, y los departamentos más castigados aportan poco al total.</w:t>
      </w:r>
    </w:p>
    <w:p>
      <w:pPr>
        <w:spacing w:after="140" w:line="276"/>
        <w:jc w:val="both"/>
      </w:pPr>
      <w:r>
        <w:rPr>
          <w:sz w:val="21"/>
          <w:szCs w:val="21"/>
        </w:rPr>
        <w:t xml:space="preserve">Sumado, y valuado a la tarifa de referencia, el flete a puerto de la campaña ronda </w:t>
      </w:r>
      <w:r>
        <w:rPr>
          <w:b/>
          <w:bCs/>
          <w:sz w:val="21"/>
          <w:szCs w:val="21"/>
        </w:rPr>
        <w:t xml:space="preserve">los US$ 4.500 millones</w:t>
      </w:r>
      <w:r>
        <w:rPr>
          <w:sz w:val="21"/>
          <w:szCs w:val="21"/>
        </w:rPr>
        <w:t xml:space="preserve"> —del orden de US$ 2.400 M en maíz y US$ 2.150 M en soja—. Conviene tomar estas cifras en dólares como orden de magnitud: dependen del tipo de cambio con que se convierta y de una tarifa de referencia que tiende a ubicarse por encima del flete que efectivamente se negocia. En términos relativos, la provincia más afectada no es la de peor porcentaje sino la de mayor volumen mediterráneo: Córdoba encabeza el costo logístico, seguida por Buenos Aires.</w:t>
      </w:r>
    </w:p>
    <w:p>
      <w:pPr>
        <w:sectPr>
          <w:pgSz w:w="12240" w:h="15840" w:orient="portrait"/>
          <w:pgMar w:top="1200" w:right="1440" w:bottom="1200" w:left="1440" w:header="708" w:footer="708" w:gutter="0"/>
          <w:pgNumType/>
          <w:docGrid w:linePitch="360"/>
        </w:sectPr>
      </w:pPr>
    </w:p>
    <w:p>
      <w:pPr>
        <w:spacing w:after="80"/>
      </w:pPr>
      <w:r>
        <w:rPr>
          <w:b/>
          <w:bCs/>
          <w:color w:val="12305e"/>
          <w:sz w:val="28"/>
          <w:szCs w:val="28"/>
        </w:rPr>
        <w:t xml:space="preserve">El mapa del flete</w:t>
      </w:r>
    </w:p>
    <w:p>
      <w:pPr>
        <w:spacing w:after="120"/>
      </w:pPr>
      <w:r>
        <w:rPr>
          <w:color w:val="595959"/>
          <w:sz w:val="17"/>
          <w:szCs w:val="17"/>
        </w:rPr>
        <w:t xml:space="preserve">Escala común 0–55 % para comparar ambos cultivos. ★ puertos de embarque; gris = partidos sin producción registrada del cultivo (p. ej. Tordillo figura gris en maíz porque en 2024/25 sembró soja pero no se registró maíz).</w:t>
      </w:r>
    </w:p>
    <w:p>
      <w:pPr>
        <w:jc w:val="center"/>
      </w:pPr>
      <w:r>
        <w:drawing>
          <wp:inline distT="0" distB="0" distL="0" distR="0">
            <wp:extent cx="85725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0" cy="5276850"/>
                    </a:xfrm>
                    <a:prstGeom prst="rect">
                      <a:avLst/>
                    </a:prstGeom>
                  </pic:spPr>
                </pic:pic>
              </a:graphicData>
            </a:graphic>
          </wp:inline>
        </w:drawing>
      </w:r>
    </w:p>
    <w:p>
      <w:pPr>
        <w:sectPr>
          <w:pgSz w:w="15840" w:h="12240" w:orient="landscape"/>
          <w:pgMar w:top="900" w:right="1100" w:bottom="900" w:left="1100" w:header="708" w:footer="708" w:gutter="0"/>
          <w:pgNumType/>
          <w:docGrid w:linePitch="360"/>
        </w:sectPr>
      </w:pPr>
    </w:p>
    <w:p>
      <w:pPr>
        <w:pStyle w:val="Heading1"/>
        <w:spacing w:after="120" w:before="280"/>
      </w:pPr>
      <w:r>
        <w:rPr>
          <w:b/>
          <w:bCs/>
          <w:color w:val="12305e"/>
        </w:rPr>
        <w:t xml:space="preserve">Lectura del mapa</w:t>
      </w:r>
    </w:p>
    <w:p>
      <w:pPr>
        <w:spacing w:after="140" w:line="276"/>
        <w:jc w:val="both"/>
      </w:pPr>
      <w:r>
        <w:rPr>
          <w:sz w:val="21"/>
          <w:szCs w:val="21"/>
        </w:rPr>
        <w:t xml:space="preserve">El patrón es un gradiente concéntrico alrededor de los tres puertos cerealeros. El núcleo verde: sur de Santa Fe, sudeste de Córdoba, norte y centro de Buenos Aires e Entre Ríos coincide con el corazón agroexportador que rodea al Gran Rosario, que absorbe la gran mayoría de los despachos (452 de los 583 pares departamento-cultivo). A medida que uno se aleja hacia el NOA y el NEA, el flete escala hasta comerse más de la mitad del valor.</w:t>
      </w:r>
    </w:p>
    <w:p>
      <w:pPr>
        <w:spacing w:after="140" w:line="276"/>
        <w:jc w:val="both"/>
      </w:pPr>
      <w:r>
        <w:rPr>
          <w:sz w:val="21"/>
          <w:szCs w:val="21"/>
        </w:rPr>
        <w:t xml:space="preserve">El contraste entre cultivos es nítido: el mapa de la soja es mayormente verde, mientras que en maíz el rojo trepa temprano hacia el norte. No es que el maíz viaje más lejos, a igual departamento la distancia es idéntica, sino que su menor precio por tonelada amplifica el peso relativo del mismo flete.</w:t>
      </w:r>
    </w:p>
    <w:p>
      <w:pPr>
        <w:spacing w:after="120" w:before="220"/>
      </w:pPr>
      <w:r>
        <w:rPr>
          <w:b/>
          <w:bCs/>
          <w:color w:val="12305e"/>
          <w:sz w:val="22"/>
          <w:szCs w:val="22"/>
        </w:rPr>
        <w:t xml:space="preserve">Casos extremos</w:t>
      </w:r>
    </w:p>
    <w:p>
      <w:pPr>
        <w:spacing w:after="100"/>
      </w:pPr>
      <w:r>
        <w:rPr>
          <w:color w:val="595959"/>
          <w:sz w:val="19"/>
          <w:szCs w:val="19"/>
        </w:rPr>
        <w:t xml:space="preserve">Los seis departamentos más golpeados (todos maíz del norte):</w:t>
      </w:r>
    </w:p>
    <w:tbl>
      <w:tblPr>
        <w:tblW w:type="dxa" w:w="9100"/>
        <w:tblBorders>
          <w:top w:val="single" w:color="b8c4d9" w:sz="2"/>
          <w:left w:val="none"/>
          <w:bottom w:val="single" w:color="b8c4d9" w:sz="2"/>
          <w:right w:val="none"/>
          <w:insideH w:val="single" w:color="b8c4d9" w:sz="1"/>
          <w:insideV w:val="none"/>
        </w:tblBorders>
      </w:tblPr>
      <w:tblGrid>
        <w:gridCol w:w="2300"/>
        <w:gridCol w:w="1900"/>
        <w:gridCol w:w="1200"/>
        <w:gridCol w:w="1200"/>
        <w:gridCol w:w="1300"/>
        <w:gridCol w:w="1200"/>
      </w:tblGrid>
      <w:tr>
        <w:trPr>
          <w:tblHeader/>
        </w:trPr>
        <w:tc>
          <w:tcPr>
            <w:tcW w:type="dxa" w:w="2300"/>
            <w:shd w:fill="b23a2f" w:color="auto" w:val="clear"/>
            <w:tcMar>
              <w:top w:type="dxa" w:w="60"/>
              <w:left w:type="dxa" w:w="110"/>
              <w:bottom w:type="dxa" w:w="60"/>
              <w:right w:type="dxa" w:w="110"/>
            </w:tcMar>
          </w:tcPr>
          <w:p>
            <w:pPr>
              <w:jc w:val="left"/>
            </w:pPr>
            <w:r>
              <w:rPr>
                <w:b/>
                <w:bCs/>
                <w:color w:val="ffffff"/>
                <w:sz w:val="17"/>
                <w:szCs w:val="17"/>
              </w:rPr>
              <w:t xml:space="preserve">Departamento</w:t>
            </w:r>
          </w:p>
        </w:tc>
        <w:tc>
          <w:tcPr>
            <w:tcW w:type="dxa" w:w="1900"/>
            <w:shd w:fill="b23a2f" w:color="auto" w:val="clear"/>
            <w:tcMar>
              <w:top w:type="dxa" w:w="60"/>
              <w:left w:type="dxa" w:w="110"/>
              <w:bottom w:type="dxa" w:w="60"/>
              <w:right w:type="dxa" w:w="110"/>
            </w:tcMar>
          </w:tcPr>
          <w:p>
            <w:pPr>
              <w:jc w:val="left"/>
            </w:pPr>
            <w:r>
              <w:rPr>
                <w:b/>
                <w:bCs/>
                <w:color w:val="ffffff"/>
                <w:sz w:val="17"/>
                <w:szCs w:val="17"/>
              </w:rPr>
              <w:t xml:space="preserve">Provincia</w:t>
            </w:r>
          </w:p>
        </w:tc>
        <w:tc>
          <w:tcPr>
            <w:tcW w:type="dxa" w:w="1200"/>
            <w:shd w:fill="b23a2f" w:color="auto" w:val="clear"/>
            <w:tcMar>
              <w:top w:type="dxa" w:w="60"/>
              <w:left w:type="dxa" w:w="110"/>
              <w:bottom w:type="dxa" w:w="60"/>
              <w:right w:type="dxa" w:w="110"/>
            </w:tcMar>
          </w:tcPr>
          <w:p>
            <w:pPr>
              <w:jc w:val="left"/>
            </w:pPr>
            <w:r>
              <w:rPr>
                <w:b/>
                <w:bCs/>
                <w:color w:val="ffffff"/>
                <w:sz w:val="17"/>
                <w:szCs w:val="17"/>
              </w:rPr>
              <w:t xml:space="preserve">Cultivo</w:t>
            </w:r>
          </w:p>
        </w:tc>
        <w:tc>
          <w:tcPr>
            <w:tcW w:type="dxa" w:w="1200"/>
            <w:shd w:fill="b23a2f" w:color="auto" w:val="clear"/>
            <w:tcMar>
              <w:top w:type="dxa" w:w="60"/>
              <w:left w:type="dxa" w:w="110"/>
              <w:bottom w:type="dxa" w:w="60"/>
              <w:right w:type="dxa" w:w="110"/>
            </w:tcMar>
          </w:tcPr>
          <w:p>
            <w:pPr>
              <w:jc w:val="right"/>
            </w:pPr>
            <w:r>
              <w:rPr>
                <w:b/>
                <w:bCs/>
                <w:color w:val="ffffff"/>
                <w:sz w:val="17"/>
                <w:szCs w:val="17"/>
              </w:rPr>
              <w:t xml:space="preserve">Dist. (km)</w:t>
            </w:r>
          </w:p>
        </w:tc>
        <w:tc>
          <w:tcPr>
            <w:tcW w:type="dxa" w:w="1300"/>
            <w:shd w:fill="b23a2f" w:color="auto" w:val="clear"/>
            <w:tcMar>
              <w:top w:type="dxa" w:w="60"/>
              <w:left w:type="dxa" w:w="110"/>
              <w:bottom w:type="dxa" w:w="60"/>
              <w:right w:type="dxa" w:w="110"/>
            </w:tcMar>
          </w:tcPr>
          <w:p>
            <w:pPr>
              <w:jc w:val="right"/>
            </w:pPr>
            <w:r>
              <w:rPr>
                <w:b/>
                <w:bCs/>
                <w:color w:val="ffffff"/>
                <w:sz w:val="17"/>
                <w:szCs w:val="17"/>
              </w:rPr>
              <w:t xml:space="preserve">% flete</w:t>
            </w:r>
          </w:p>
        </w:tc>
        <w:tc>
          <w:tcPr>
            <w:tcW w:type="dxa" w:w="1200"/>
            <w:shd w:fill="b23a2f" w:color="auto" w:val="clear"/>
            <w:tcMar>
              <w:top w:type="dxa" w:w="60"/>
              <w:left w:type="dxa" w:w="110"/>
              <w:bottom w:type="dxa" w:w="60"/>
              <w:right w:type="dxa" w:w="110"/>
            </w:tcMar>
          </w:tcPr>
          <w:p>
            <w:pPr>
              <w:jc w:val="right"/>
            </w:pPr>
            <w:r>
              <w:rPr>
                <w:b/>
                <w:bCs/>
                <w:color w:val="ffffff"/>
                <w:sz w:val="17"/>
                <w:szCs w:val="17"/>
              </w:rPr>
              <w:t xml:space="preserve">Neto US$/tn</w:t>
            </w:r>
          </w:p>
        </w:tc>
      </w:tr>
      <w:tr>
        <w:tc>
          <w:tcPr>
            <w:tcW w:type="dxa" w:w="2300"/>
            <w:tcMar>
              <w:top w:type="dxa" w:w="60"/>
              <w:left w:type="dxa" w:w="110"/>
              <w:bottom w:type="dxa" w:w="60"/>
              <w:right w:type="dxa" w:w="110"/>
            </w:tcMar>
          </w:tcPr>
          <w:p>
            <w:pPr>
              <w:jc w:val="left"/>
            </w:pPr>
            <w:r>
              <w:rPr>
                <w:b w:val="false"/>
                <w:bCs w:val="false"/>
                <w:color w:val="222222"/>
                <w:sz w:val="17"/>
                <w:szCs w:val="17"/>
              </w:rPr>
              <w:t xml:space="preserve">GENERAL JOSE DE SAN MARTIN</w:t>
            </w:r>
          </w:p>
        </w:tc>
        <w:tc>
          <w:tcPr>
            <w:tcW w:type="dxa" w:w="1900"/>
            <w:tcMar>
              <w:top w:type="dxa" w:w="60"/>
              <w:left w:type="dxa" w:w="110"/>
              <w:bottom w:type="dxa" w:w="60"/>
              <w:right w:type="dxa" w:w="110"/>
            </w:tcMar>
          </w:tcPr>
          <w:p>
            <w:pPr>
              <w:jc w:val="left"/>
            </w:pPr>
            <w:r>
              <w:rPr>
                <w:b w:val="false"/>
                <w:bCs w:val="false"/>
                <w:color w:val="222222"/>
                <w:sz w:val="17"/>
                <w:szCs w:val="17"/>
              </w:rPr>
              <w:t xml:space="preserve">SALTA</w:t>
            </w:r>
          </w:p>
        </w:tc>
        <w:tc>
          <w:tcPr>
            <w:tcW w:type="dxa" w:w="1200"/>
            <w:tcMar>
              <w:top w:type="dxa" w:w="60"/>
              <w:left w:type="dxa" w:w="110"/>
              <w:bottom w:type="dxa" w:w="60"/>
              <w:right w:type="dxa" w:w="110"/>
            </w:tcMar>
          </w:tcPr>
          <w:p>
            <w:pPr>
              <w:jc w:val="left"/>
            </w:pPr>
            <w:r>
              <w:rPr>
                <w:b w:val="false"/>
                <w:bCs w:val="false"/>
                <w:color w:val="222222"/>
                <w:sz w:val="17"/>
                <w:szCs w:val="17"/>
              </w:rPr>
              <w:t xml:space="preserve">Maíz</w:t>
            </w:r>
          </w:p>
        </w:tc>
        <w:tc>
          <w:tcPr>
            <w:tcW w:type="dxa" w:w="1200"/>
            <w:tcMar>
              <w:top w:type="dxa" w:w="60"/>
              <w:left w:type="dxa" w:w="110"/>
              <w:bottom w:type="dxa" w:w="60"/>
              <w:right w:type="dxa" w:w="110"/>
            </w:tcMar>
          </w:tcPr>
          <w:p>
            <w:pPr>
              <w:jc w:val="right"/>
            </w:pPr>
            <w:r>
              <w:rPr>
                <w:b w:val="false"/>
                <w:bCs w:val="false"/>
                <w:color w:val="222222"/>
                <w:sz w:val="17"/>
                <w:szCs w:val="17"/>
              </w:rPr>
              <w:t xml:space="preserve">1397,2</w:t>
            </w:r>
          </w:p>
        </w:tc>
        <w:tc>
          <w:tcPr>
            <w:tcW w:type="dxa" w:w="1300"/>
            <w:tcMar>
              <w:top w:type="dxa" w:w="60"/>
              <w:left w:type="dxa" w:w="110"/>
              <w:bottom w:type="dxa" w:w="60"/>
              <w:right w:type="dxa" w:w="110"/>
            </w:tcMar>
          </w:tcPr>
          <w:p>
            <w:pPr>
              <w:jc w:val="right"/>
            </w:pPr>
            <w:r>
              <w:rPr>
                <w:b w:val="false"/>
                <w:bCs w:val="false"/>
                <w:color w:val="222222"/>
                <w:sz w:val="17"/>
                <w:szCs w:val="17"/>
              </w:rPr>
              <w:t xml:space="preserve">54.3%</w:t>
            </w:r>
          </w:p>
        </w:tc>
        <w:tc>
          <w:tcPr>
            <w:tcW w:type="dxa" w:w="1200"/>
            <w:tcMar>
              <w:top w:type="dxa" w:w="60"/>
              <w:left w:type="dxa" w:w="110"/>
              <w:bottom w:type="dxa" w:w="60"/>
              <w:right w:type="dxa" w:w="110"/>
            </w:tcMar>
          </w:tcPr>
          <w:p>
            <w:pPr>
              <w:jc w:val="right"/>
            </w:pPr>
            <w:r>
              <w:rPr>
                <w:b w:val="false"/>
                <w:bCs w:val="false"/>
                <w:color w:val="222222"/>
                <w:sz w:val="17"/>
                <w:szCs w:val="17"/>
              </w:rPr>
              <w:t xml:space="preserve">80.5</w:t>
            </w:r>
          </w:p>
        </w:tc>
      </w:tr>
      <w:tr>
        <w:tc>
          <w:tcPr>
            <w:tcW w:type="dxa" w:w="2300"/>
            <w:shd w:fill="f2f2f2" w:color="auto" w:val="clear"/>
            <w:tcMar>
              <w:top w:type="dxa" w:w="60"/>
              <w:left w:type="dxa" w:w="110"/>
              <w:bottom w:type="dxa" w:w="60"/>
              <w:right w:type="dxa" w:w="110"/>
            </w:tcMar>
          </w:tcPr>
          <w:p>
            <w:pPr>
              <w:jc w:val="left"/>
            </w:pPr>
            <w:r>
              <w:rPr>
                <w:b w:val="false"/>
                <w:bCs w:val="false"/>
                <w:color w:val="222222"/>
                <w:sz w:val="17"/>
                <w:szCs w:val="17"/>
              </w:rPr>
              <w:t xml:space="preserve">RIVADAVIA</w:t>
            </w:r>
          </w:p>
        </w:tc>
        <w:tc>
          <w:tcPr>
            <w:tcW w:type="dxa" w:w="1900"/>
            <w:shd w:fill="f2f2f2" w:color="auto" w:val="clear"/>
            <w:tcMar>
              <w:top w:type="dxa" w:w="60"/>
              <w:left w:type="dxa" w:w="110"/>
              <w:bottom w:type="dxa" w:w="60"/>
              <w:right w:type="dxa" w:w="110"/>
            </w:tcMar>
          </w:tcPr>
          <w:p>
            <w:pPr>
              <w:jc w:val="left"/>
            </w:pPr>
            <w:r>
              <w:rPr>
                <w:b w:val="false"/>
                <w:bCs w:val="false"/>
                <w:color w:val="222222"/>
                <w:sz w:val="17"/>
                <w:szCs w:val="17"/>
              </w:rPr>
              <w:t xml:space="preserve">SALTA</w:t>
            </w:r>
          </w:p>
        </w:tc>
        <w:tc>
          <w:tcPr>
            <w:tcW w:type="dxa" w:w="1200"/>
            <w:shd w:fill="f2f2f2" w:color="auto" w:val="clear"/>
            <w:tcMar>
              <w:top w:type="dxa" w:w="60"/>
              <w:left w:type="dxa" w:w="110"/>
              <w:bottom w:type="dxa" w:w="60"/>
              <w:right w:type="dxa" w:w="110"/>
            </w:tcMar>
          </w:tcPr>
          <w:p>
            <w:pPr>
              <w:jc w:val="left"/>
            </w:pPr>
            <w:r>
              <w:rPr>
                <w:b w:val="false"/>
                <w:bCs w:val="false"/>
                <w:color w:val="222222"/>
                <w:sz w:val="17"/>
                <w:szCs w:val="17"/>
              </w:rPr>
              <w:t xml:space="preserve">Maíz</w:t>
            </w:r>
          </w:p>
        </w:tc>
        <w:tc>
          <w:tcPr>
            <w:tcW w:type="dxa" w:w="1200"/>
            <w:shd w:fill="f2f2f2" w:color="auto" w:val="clear"/>
            <w:tcMar>
              <w:top w:type="dxa" w:w="60"/>
              <w:left w:type="dxa" w:w="110"/>
              <w:bottom w:type="dxa" w:w="60"/>
              <w:right w:type="dxa" w:w="110"/>
            </w:tcMar>
          </w:tcPr>
          <w:p>
            <w:pPr>
              <w:jc w:val="right"/>
            </w:pPr>
            <w:r>
              <w:rPr>
                <w:b w:val="false"/>
                <w:bCs w:val="false"/>
                <w:color w:val="222222"/>
                <w:sz w:val="17"/>
                <w:szCs w:val="17"/>
              </w:rPr>
              <w:t xml:space="preserve">1360,2</w:t>
            </w:r>
          </w:p>
        </w:tc>
        <w:tc>
          <w:tcPr>
            <w:tcW w:type="dxa" w:w="1300"/>
            <w:shd w:fill="f2f2f2" w:color="auto" w:val="clear"/>
            <w:tcMar>
              <w:top w:type="dxa" w:w="60"/>
              <w:left w:type="dxa" w:w="110"/>
              <w:bottom w:type="dxa" w:w="60"/>
              <w:right w:type="dxa" w:w="110"/>
            </w:tcMar>
          </w:tcPr>
          <w:p>
            <w:pPr>
              <w:jc w:val="right"/>
            </w:pPr>
            <w:r>
              <w:rPr>
                <w:b w:val="false"/>
                <w:bCs w:val="false"/>
                <w:color w:val="222222"/>
                <w:sz w:val="17"/>
                <w:szCs w:val="17"/>
              </w:rPr>
              <w:t xml:space="preserve">53.7%</w:t>
            </w:r>
          </w:p>
        </w:tc>
        <w:tc>
          <w:tcPr>
            <w:tcW w:type="dxa" w:w="1200"/>
            <w:shd w:fill="f2f2f2" w:color="auto" w:val="clear"/>
            <w:tcMar>
              <w:top w:type="dxa" w:w="60"/>
              <w:left w:type="dxa" w:w="110"/>
              <w:bottom w:type="dxa" w:w="60"/>
              <w:right w:type="dxa" w:w="110"/>
            </w:tcMar>
          </w:tcPr>
          <w:p>
            <w:pPr>
              <w:jc w:val="right"/>
            </w:pPr>
            <w:r>
              <w:rPr>
                <w:b w:val="false"/>
                <w:bCs w:val="false"/>
                <w:color w:val="222222"/>
                <w:sz w:val="17"/>
                <w:szCs w:val="17"/>
              </w:rPr>
              <w:t xml:space="preserve">81.6</w:t>
            </w:r>
          </w:p>
        </w:tc>
      </w:tr>
      <w:tr>
        <w:tc>
          <w:tcPr>
            <w:tcW w:type="dxa" w:w="2300"/>
            <w:tcMar>
              <w:top w:type="dxa" w:w="60"/>
              <w:left w:type="dxa" w:w="110"/>
              <w:bottom w:type="dxa" w:w="60"/>
              <w:right w:type="dxa" w:w="110"/>
            </w:tcMar>
          </w:tcPr>
          <w:p>
            <w:pPr>
              <w:jc w:val="left"/>
            </w:pPr>
            <w:r>
              <w:rPr>
                <w:b w:val="false"/>
                <w:bCs w:val="false"/>
                <w:color w:val="222222"/>
                <w:sz w:val="17"/>
                <w:szCs w:val="17"/>
              </w:rPr>
              <w:t xml:space="preserve">GENERAL MANUEL BELGRANO</w:t>
            </w:r>
          </w:p>
        </w:tc>
        <w:tc>
          <w:tcPr>
            <w:tcW w:type="dxa" w:w="1900"/>
            <w:tcMar>
              <w:top w:type="dxa" w:w="60"/>
              <w:left w:type="dxa" w:w="110"/>
              <w:bottom w:type="dxa" w:w="60"/>
              <w:right w:type="dxa" w:w="110"/>
            </w:tcMar>
          </w:tcPr>
          <w:p>
            <w:pPr>
              <w:jc w:val="left"/>
            </w:pPr>
            <w:r>
              <w:rPr>
                <w:b w:val="false"/>
                <w:bCs w:val="false"/>
                <w:color w:val="222222"/>
                <w:sz w:val="17"/>
                <w:szCs w:val="17"/>
              </w:rPr>
              <w:t xml:space="preserve">MISIONES</w:t>
            </w:r>
          </w:p>
        </w:tc>
        <w:tc>
          <w:tcPr>
            <w:tcW w:type="dxa" w:w="1200"/>
            <w:tcMar>
              <w:top w:type="dxa" w:w="60"/>
              <w:left w:type="dxa" w:w="110"/>
              <w:bottom w:type="dxa" w:w="60"/>
              <w:right w:type="dxa" w:w="110"/>
            </w:tcMar>
          </w:tcPr>
          <w:p>
            <w:pPr>
              <w:jc w:val="left"/>
            </w:pPr>
            <w:r>
              <w:rPr>
                <w:b w:val="false"/>
                <w:bCs w:val="false"/>
                <w:color w:val="222222"/>
                <w:sz w:val="17"/>
                <w:szCs w:val="17"/>
              </w:rPr>
              <w:t xml:space="preserve">Maíz</w:t>
            </w:r>
          </w:p>
        </w:tc>
        <w:tc>
          <w:tcPr>
            <w:tcW w:type="dxa" w:w="1200"/>
            <w:tcMar>
              <w:top w:type="dxa" w:w="60"/>
              <w:left w:type="dxa" w:w="110"/>
              <w:bottom w:type="dxa" w:w="60"/>
              <w:right w:type="dxa" w:w="110"/>
            </w:tcMar>
          </w:tcPr>
          <w:p>
            <w:pPr>
              <w:jc w:val="right"/>
            </w:pPr>
            <w:r>
              <w:rPr>
                <w:b w:val="false"/>
                <w:bCs w:val="false"/>
                <w:color w:val="222222"/>
                <w:sz w:val="17"/>
                <w:szCs w:val="17"/>
              </w:rPr>
              <w:t xml:space="preserve">1322,3</w:t>
            </w:r>
          </w:p>
        </w:tc>
        <w:tc>
          <w:tcPr>
            <w:tcW w:type="dxa" w:w="1300"/>
            <w:tcMar>
              <w:top w:type="dxa" w:w="60"/>
              <w:left w:type="dxa" w:w="110"/>
              <w:bottom w:type="dxa" w:w="60"/>
              <w:right w:type="dxa" w:w="110"/>
            </w:tcMar>
          </w:tcPr>
          <w:p>
            <w:pPr>
              <w:jc w:val="right"/>
            </w:pPr>
            <w:r>
              <w:rPr>
                <w:b w:val="false"/>
                <w:bCs w:val="false"/>
                <w:color w:val="222222"/>
                <w:sz w:val="17"/>
                <w:szCs w:val="17"/>
              </w:rPr>
              <w:t xml:space="preserve">53.0%</w:t>
            </w:r>
          </w:p>
        </w:tc>
        <w:tc>
          <w:tcPr>
            <w:tcW w:type="dxa" w:w="1200"/>
            <w:tcMar>
              <w:top w:type="dxa" w:w="60"/>
              <w:left w:type="dxa" w:w="110"/>
              <w:bottom w:type="dxa" w:w="60"/>
              <w:right w:type="dxa" w:w="110"/>
            </w:tcMar>
          </w:tcPr>
          <w:p>
            <w:pPr>
              <w:jc w:val="right"/>
            </w:pPr>
            <w:r>
              <w:rPr>
                <w:b w:val="false"/>
                <w:bCs w:val="false"/>
                <w:color w:val="222222"/>
                <w:sz w:val="17"/>
                <w:szCs w:val="17"/>
              </w:rPr>
              <w:t xml:space="preserve">82.8</w:t>
            </w:r>
          </w:p>
        </w:tc>
      </w:tr>
      <w:tr>
        <w:tc>
          <w:tcPr>
            <w:tcW w:type="dxa" w:w="2300"/>
            <w:shd w:fill="f2f2f2" w:color="auto" w:val="clear"/>
            <w:tcMar>
              <w:top w:type="dxa" w:w="60"/>
              <w:left w:type="dxa" w:w="110"/>
              <w:bottom w:type="dxa" w:w="60"/>
              <w:right w:type="dxa" w:w="110"/>
            </w:tcMar>
          </w:tcPr>
          <w:p>
            <w:pPr>
              <w:jc w:val="left"/>
            </w:pPr>
            <w:r>
              <w:rPr>
                <w:b w:val="false"/>
                <w:bCs w:val="false"/>
                <w:color w:val="222222"/>
                <w:sz w:val="17"/>
                <w:szCs w:val="17"/>
              </w:rPr>
              <w:t xml:space="preserve">ORAN</w:t>
            </w:r>
          </w:p>
        </w:tc>
        <w:tc>
          <w:tcPr>
            <w:tcW w:type="dxa" w:w="1900"/>
            <w:shd w:fill="f2f2f2" w:color="auto" w:val="clear"/>
            <w:tcMar>
              <w:top w:type="dxa" w:w="60"/>
              <w:left w:type="dxa" w:w="110"/>
              <w:bottom w:type="dxa" w:w="60"/>
              <w:right w:type="dxa" w:w="110"/>
            </w:tcMar>
          </w:tcPr>
          <w:p>
            <w:pPr>
              <w:jc w:val="left"/>
            </w:pPr>
            <w:r>
              <w:rPr>
                <w:b w:val="false"/>
                <w:bCs w:val="false"/>
                <w:color w:val="222222"/>
                <w:sz w:val="17"/>
                <w:szCs w:val="17"/>
              </w:rPr>
              <w:t xml:space="preserve">SALTA</w:t>
            </w:r>
          </w:p>
        </w:tc>
        <w:tc>
          <w:tcPr>
            <w:tcW w:type="dxa" w:w="1200"/>
            <w:shd w:fill="f2f2f2" w:color="auto" w:val="clear"/>
            <w:tcMar>
              <w:top w:type="dxa" w:w="60"/>
              <w:left w:type="dxa" w:w="110"/>
              <w:bottom w:type="dxa" w:w="60"/>
              <w:right w:type="dxa" w:w="110"/>
            </w:tcMar>
          </w:tcPr>
          <w:p>
            <w:pPr>
              <w:jc w:val="left"/>
            </w:pPr>
            <w:r>
              <w:rPr>
                <w:b w:val="false"/>
                <w:bCs w:val="false"/>
                <w:color w:val="222222"/>
                <w:sz w:val="17"/>
                <w:szCs w:val="17"/>
              </w:rPr>
              <w:t xml:space="preserve">Maíz</w:t>
            </w:r>
          </w:p>
        </w:tc>
        <w:tc>
          <w:tcPr>
            <w:tcW w:type="dxa" w:w="1200"/>
            <w:shd w:fill="f2f2f2" w:color="auto" w:val="clear"/>
            <w:tcMar>
              <w:top w:type="dxa" w:w="60"/>
              <w:left w:type="dxa" w:w="110"/>
              <w:bottom w:type="dxa" w:w="60"/>
              <w:right w:type="dxa" w:w="110"/>
            </w:tcMar>
          </w:tcPr>
          <w:p>
            <w:pPr>
              <w:jc w:val="right"/>
            </w:pPr>
            <w:r>
              <w:rPr>
                <w:b w:val="false"/>
                <w:bCs w:val="false"/>
                <w:color w:val="222222"/>
                <w:sz w:val="17"/>
                <w:szCs w:val="17"/>
              </w:rPr>
              <w:t xml:space="preserve">1320,6</w:t>
            </w:r>
          </w:p>
        </w:tc>
        <w:tc>
          <w:tcPr>
            <w:tcW w:type="dxa" w:w="1300"/>
            <w:shd w:fill="f2f2f2" w:color="auto" w:val="clear"/>
            <w:tcMar>
              <w:top w:type="dxa" w:w="60"/>
              <w:left w:type="dxa" w:w="110"/>
              <w:bottom w:type="dxa" w:w="60"/>
              <w:right w:type="dxa" w:w="110"/>
            </w:tcMar>
          </w:tcPr>
          <w:p>
            <w:pPr>
              <w:jc w:val="right"/>
            </w:pPr>
            <w:r>
              <w:rPr>
                <w:b w:val="false"/>
                <w:bCs w:val="false"/>
                <w:color w:val="222222"/>
                <w:sz w:val="17"/>
                <w:szCs w:val="17"/>
              </w:rPr>
              <w:t xml:space="preserve">53.0%</w:t>
            </w:r>
          </w:p>
        </w:tc>
        <w:tc>
          <w:tcPr>
            <w:tcW w:type="dxa" w:w="1200"/>
            <w:shd w:fill="f2f2f2" w:color="auto" w:val="clear"/>
            <w:tcMar>
              <w:top w:type="dxa" w:w="60"/>
              <w:left w:type="dxa" w:w="110"/>
              <w:bottom w:type="dxa" w:w="60"/>
              <w:right w:type="dxa" w:w="110"/>
            </w:tcMar>
          </w:tcPr>
          <w:p>
            <w:pPr>
              <w:jc w:val="right"/>
            </w:pPr>
            <w:r>
              <w:rPr>
                <w:b w:val="false"/>
                <w:bCs w:val="false"/>
                <w:color w:val="222222"/>
                <w:sz w:val="17"/>
                <w:szCs w:val="17"/>
              </w:rPr>
              <w:t xml:space="preserve">82.9</w:t>
            </w:r>
          </w:p>
        </w:tc>
      </w:tr>
      <w:tr>
        <w:tc>
          <w:tcPr>
            <w:tcW w:type="dxa" w:w="2300"/>
            <w:tcMar>
              <w:top w:type="dxa" w:w="60"/>
              <w:left w:type="dxa" w:w="110"/>
              <w:bottom w:type="dxa" w:w="60"/>
              <w:right w:type="dxa" w:w="110"/>
            </w:tcMar>
          </w:tcPr>
          <w:p>
            <w:pPr>
              <w:jc w:val="left"/>
            </w:pPr>
            <w:r>
              <w:rPr>
                <w:b w:val="false"/>
                <w:bCs w:val="false"/>
                <w:color w:val="222222"/>
                <w:sz w:val="17"/>
                <w:szCs w:val="17"/>
              </w:rPr>
              <w:t xml:space="preserve">CACHI</w:t>
            </w:r>
          </w:p>
        </w:tc>
        <w:tc>
          <w:tcPr>
            <w:tcW w:type="dxa" w:w="1900"/>
            <w:tcMar>
              <w:top w:type="dxa" w:w="60"/>
              <w:left w:type="dxa" w:w="110"/>
              <w:bottom w:type="dxa" w:w="60"/>
              <w:right w:type="dxa" w:w="110"/>
            </w:tcMar>
          </w:tcPr>
          <w:p>
            <w:pPr>
              <w:jc w:val="left"/>
            </w:pPr>
            <w:r>
              <w:rPr>
                <w:b w:val="false"/>
                <w:bCs w:val="false"/>
                <w:color w:val="222222"/>
                <w:sz w:val="17"/>
                <w:szCs w:val="17"/>
              </w:rPr>
              <w:t xml:space="preserve">SALTA</w:t>
            </w:r>
          </w:p>
        </w:tc>
        <w:tc>
          <w:tcPr>
            <w:tcW w:type="dxa" w:w="1200"/>
            <w:tcMar>
              <w:top w:type="dxa" w:w="60"/>
              <w:left w:type="dxa" w:w="110"/>
              <w:bottom w:type="dxa" w:w="60"/>
              <w:right w:type="dxa" w:w="110"/>
            </w:tcMar>
          </w:tcPr>
          <w:p>
            <w:pPr>
              <w:jc w:val="left"/>
            </w:pPr>
            <w:r>
              <w:rPr>
                <w:b w:val="false"/>
                <w:bCs w:val="false"/>
                <w:color w:val="222222"/>
                <w:sz w:val="17"/>
                <w:szCs w:val="17"/>
              </w:rPr>
              <w:t xml:space="preserve">Maíz</w:t>
            </w:r>
          </w:p>
        </w:tc>
        <w:tc>
          <w:tcPr>
            <w:tcW w:type="dxa" w:w="1200"/>
            <w:tcMar>
              <w:top w:type="dxa" w:w="60"/>
              <w:left w:type="dxa" w:w="110"/>
              <w:bottom w:type="dxa" w:w="60"/>
              <w:right w:type="dxa" w:w="110"/>
            </w:tcMar>
          </w:tcPr>
          <w:p>
            <w:pPr>
              <w:jc w:val="right"/>
            </w:pPr>
            <w:r>
              <w:rPr>
                <w:b w:val="false"/>
                <w:bCs w:val="false"/>
                <w:color w:val="222222"/>
                <w:sz w:val="17"/>
                <w:szCs w:val="17"/>
              </w:rPr>
              <w:t xml:space="preserve">1303,7</w:t>
            </w:r>
          </w:p>
        </w:tc>
        <w:tc>
          <w:tcPr>
            <w:tcW w:type="dxa" w:w="1300"/>
            <w:tcMar>
              <w:top w:type="dxa" w:w="60"/>
              <w:left w:type="dxa" w:w="110"/>
              <w:bottom w:type="dxa" w:w="60"/>
              <w:right w:type="dxa" w:w="110"/>
            </w:tcMar>
          </w:tcPr>
          <w:p>
            <w:pPr>
              <w:jc w:val="right"/>
            </w:pPr>
            <w:r>
              <w:rPr>
                <w:b w:val="false"/>
                <w:bCs w:val="false"/>
                <w:color w:val="222222"/>
                <w:sz w:val="17"/>
                <w:szCs w:val="17"/>
              </w:rPr>
              <w:t xml:space="preserve">52.6%</w:t>
            </w:r>
          </w:p>
        </w:tc>
        <w:tc>
          <w:tcPr>
            <w:tcW w:type="dxa" w:w="1200"/>
            <w:tcMar>
              <w:top w:type="dxa" w:w="60"/>
              <w:left w:type="dxa" w:w="110"/>
              <w:bottom w:type="dxa" w:w="60"/>
              <w:right w:type="dxa" w:w="110"/>
            </w:tcMar>
          </w:tcPr>
          <w:p>
            <w:pPr>
              <w:jc w:val="right"/>
            </w:pPr>
            <w:r>
              <w:rPr>
                <w:b w:val="false"/>
                <w:bCs w:val="false"/>
                <w:color w:val="222222"/>
                <w:sz w:val="17"/>
                <w:szCs w:val="17"/>
              </w:rPr>
              <w:t xml:space="preserve">83.4</w:t>
            </w:r>
          </w:p>
        </w:tc>
      </w:tr>
      <w:tr>
        <w:tc>
          <w:tcPr>
            <w:tcW w:type="dxa" w:w="2300"/>
            <w:shd w:fill="f2f2f2" w:color="auto" w:val="clear"/>
            <w:tcMar>
              <w:top w:type="dxa" w:w="60"/>
              <w:left w:type="dxa" w:w="110"/>
              <w:bottom w:type="dxa" w:w="60"/>
              <w:right w:type="dxa" w:w="110"/>
            </w:tcMar>
          </w:tcPr>
          <w:p>
            <w:pPr>
              <w:jc w:val="left"/>
            </w:pPr>
            <w:r>
              <w:rPr>
                <w:b w:val="false"/>
                <w:bCs w:val="false"/>
                <w:color w:val="222222"/>
                <w:sz w:val="17"/>
                <w:szCs w:val="17"/>
              </w:rPr>
              <w:t xml:space="preserve">VALLE GRANDE</w:t>
            </w:r>
          </w:p>
        </w:tc>
        <w:tc>
          <w:tcPr>
            <w:tcW w:type="dxa" w:w="1900"/>
            <w:shd w:fill="f2f2f2" w:color="auto" w:val="clear"/>
            <w:tcMar>
              <w:top w:type="dxa" w:w="60"/>
              <w:left w:type="dxa" w:w="110"/>
              <w:bottom w:type="dxa" w:w="60"/>
              <w:right w:type="dxa" w:w="110"/>
            </w:tcMar>
          </w:tcPr>
          <w:p>
            <w:pPr>
              <w:jc w:val="left"/>
            </w:pPr>
            <w:r>
              <w:rPr>
                <w:b w:val="false"/>
                <w:bCs w:val="false"/>
                <w:color w:val="222222"/>
                <w:sz w:val="17"/>
                <w:szCs w:val="17"/>
              </w:rPr>
              <w:t xml:space="preserve">JUJUY</w:t>
            </w:r>
          </w:p>
        </w:tc>
        <w:tc>
          <w:tcPr>
            <w:tcW w:type="dxa" w:w="1200"/>
            <w:shd w:fill="f2f2f2" w:color="auto" w:val="clear"/>
            <w:tcMar>
              <w:top w:type="dxa" w:w="60"/>
              <w:left w:type="dxa" w:w="110"/>
              <w:bottom w:type="dxa" w:w="60"/>
              <w:right w:type="dxa" w:w="110"/>
            </w:tcMar>
          </w:tcPr>
          <w:p>
            <w:pPr>
              <w:jc w:val="left"/>
            </w:pPr>
            <w:r>
              <w:rPr>
                <w:b w:val="false"/>
                <w:bCs w:val="false"/>
                <w:color w:val="222222"/>
                <w:sz w:val="17"/>
                <w:szCs w:val="17"/>
              </w:rPr>
              <w:t xml:space="preserve">Maíz</w:t>
            </w:r>
          </w:p>
        </w:tc>
        <w:tc>
          <w:tcPr>
            <w:tcW w:type="dxa" w:w="1200"/>
            <w:shd w:fill="f2f2f2" w:color="auto" w:val="clear"/>
            <w:tcMar>
              <w:top w:type="dxa" w:w="60"/>
              <w:left w:type="dxa" w:w="110"/>
              <w:bottom w:type="dxa" w:w="60"/>
              <w:right w:type="dxa" w:w="110"/>
            </w:tcMar>
          </w:tcPr>
          <w:p>
            <w:pPr>
              <w:jc w:val="right"/>
            </w:pPr>
            <w:r>
              <w:rPr>
                <w:b w:val="false"/>
                <w:bCs w:val="false"/>
                <w:color w:val="222222"/>
                <w:sz w:val="17"/>
                <w:szCs w:val="17"/>
              </w:rPr>
              <w:t xml:space="preserve">1293</w:t>
            </w:r>
          </w:p>
        </w:tc>
        <w:tc>
          <w:tcPr>
            <w:tcW w:type="dxa" w:w="1300"/>
            <w:shd w:fill="f2f2f2" w:color="auto" w:val="clear"/>
            <w:tcMar>
              <w:top w:type="dxa" w:w="60"/>
              <w:left w:type="dxa" w:w="110"/>
              <w:bottom w:type="dxa" w:w="60"/>
              <w:right w:type="dxa" w:w="110"/>
            </w:tcMar>
          </w:tcPr>
          <w:p>
            <w:pPr>
              <w:jc w:val="right"/>
            </w:pPr>
            <w:r>
              <w:rPr>
                <w:b w:val="false"/>
                <w:bCs w:val="false"/>
                <w:color w:val="222222"/>
                <w:sz w:val="17"/>
                <w:szCs w:val="17"/>
              </w:rPr>
              <w:t xml:space="preserve">52.4%</w:t>
            </w:r>
          </w:p>
        </w:tc>
        <w:tc>
          <w:tcPr>
            <w:tcW w:type="dxa" w:w="1200"/>
            <w:shd w:fill="f2f2f2" w:color="auto" w:val="clear"/>
            <w:tcMar>
              <w:top w:type="dxa" w:w="60"/>
              <w:left w:type="dxa" w:w="110"/>
              <w:bottom w:type="dxa" w:w="60"/>
              <w:right w:type="dxa" w:w="110"/>
            </w:tcMar>
          </w:tcPr>
          <w:p>
            <w:pPr>
              <w:jc w:val="right"/>
            </w:pPr>
            <w:r>
              <w:rPr>
                <w:b w:val="false"/>
                <w:bCs w:val="false"/>
                <w:color w:val="222222"/>
                <w:sz w:val="17"/>
                <w:szCs w:val="17"/>
              </w:rPr>
              <w:t xml:space="preserve">83.8</w:t>
            </w:r>
          </w:p>
        </w:tc>
      </w:tr>
    </w:tbl>
    <w:p>
      <w:pPr>
        <w:spacing w:after="100" w:before="180"/>
      </w:pPr>
      <w:r>
        <w:rPr>
          <w:color w:val="595959"/>
          <w:sz w:val="19"/>
          <w:szCs w:val="19"/>
        </w:rPr>
        <w:t xml:space="preserve">Los seis más protegidos (todos soja del núcleo):</w:t>
      </w:r>
    </w:p>
    <w:tbl>
      <w:tblPr>
        <w:tblW w:type="dxa" w:w="9100"/>
        <w:tblBorders>
          <w:top w:val="single" w:color="b8c4d9" w:sz="2"/>
          <w:left w:val="none"/>
          <w:bottom w:val="single" w:color="b8c4d9" w:sz="2"/>
          <w:right w:val="none"/>
          <w:insideH w:val="single" w:color="b8c4d9" w:sz="1"/>
          <w:insideV w:val="none"/>
        </w:tblBorders>
      </w:tblPr>
      <w:tblGrid>
        <w:gridCol w:w="2300"/>
        <w:gridCol w:w="1900"/>
        <w:gridCol w:w="1200"/>
        <w:gridCol w:w="1200"/>
        <w:gridCol w:w="1300"/>
        <w:gridCol w:w="1200"/>
      </w:tblGrid>
      <w:tr>
        <w:trPr>
          <w:tblHeader/>
        </w:trPr>
        <w:tc>
          <w:tcPr>
            <w:tcW w:type="dxa" w:w="2300"/>
            <w:shd w:fill="2f7d3a" w:color="auto" w:val="clear"/>
            <w:tcMar>
              <w:top w:type="dxa" w:w="60"/>
              <w:left w:type="dxa" w:w="110"/>
              <w:bottom w:type="dxa" w:w="60"/>
              <w:right w:type="dxa" w:w="110"/>
            </w:tcMar>
          </w:tcPr>
          <w:p>
            <w:pPr>
              <w:jc w:val="left"/>
            </w:pPr>
            <w:r>
              <w:rPr>
                <w:b/>
                <w:bCs/>
                <w:color w:val="ffffff"/>
                <w:sz w:val="17"/>
                <w:szCs w:val="17"/>
              </w:rPr>
              <w:t xml:space="preserve">Departamento</w:t>
            </w:r>
          </w:p>
        </w:tc>
        <w:tc>
          <w:tcPr>
            <w:tcW w:type="dxa" w:w="1900"/>
            <w:shd w:fill="2f7d3a" w:color="auto" w:val="clear"/>
            <w:tcMar>
              <w:top w:type="dxa" w:w="60"/>
              <w:left w:type="dxa" w:w="110"/>
              <w:bottom w:type="dxa" w:w="60"/>
              <w:right w:type="dxa" w:w="110"/>
            </w:tcMar>
          </w:tcPr>
          <w:p>
            <w:pPr>
              <w:jc w:val="left"/>
            </w:pPr>
            <w:r>
              <w:rPr>
                <w:b/>
                <w:bCs/>
                <w:color w:val="ffffff"/>
                <w:sz w:val="17"/>
                <w:szCs w:val="17"/>
              </w:rPr>
              <w:t xml:space="preserve">Provincia</w:t>
            </w:r>
          </w:p>
        </w:tc>
        <w:tc>
          <w:tcPr>
            <w:tcW w:type="dxa" w:w="1200"/>
            <w:shd w:fill="2f7d3a" w:color="auto" w:val="clear"/>
            <w:tcMar>
              <w:top w:type="dxa" w:w="60"/>
              <w:left w:type="dxa" w:w="110"/>
              <w:bottom w:type="dxa" w:w="60"/>
              <w:right w:type="dxa" w:w="110"/>
            </w:tcMar>
          </w:tcPr>
          <w:p>
            <w:pPr>
              <w:jc w:val="left"/>
            </w:pPr>
            <w:r>
              <w:rPr>
                <w:b/>
                <w:bCs/>
                <w:color w:val="ffffff"/>
                <w:sz w:val="17"/>
                <w:szCs w:val="17"/>
              </w:rPr>
              <w:t xml:space="preserve">Cultivo</w:t>
            </w:r>
          </w:p>
        </w:tc>
        <w:tc>
          <w:tcPr>
            <w:tcW w:type="dxa" w:w="1200"/>
            <w:shd w:fill="2f7d3a" w:color="auto" w:val="clear"/>
            <w:tcMar>
              <w:top w:type="dxa" w:w="60"/>
              <w:left w:type="dxa" w:w="110"/>
              <w:bottom w:type="dxa" w:w="60"/>
              <w:right w:type="dxa" w:w="110"/>
            </w:tcMar>
          </w:tcPr>
          <w:p>
            <w:pPr>
              <w:jc w:val="right"/>
            </w:pPr>
            <w:r>
              <w:rPr>
                <w:b/>
                <w:bCs/>
                <w:color w:val="ffffff"/>
                <w:sz w:val="17"/>
                <w:szCs w:val="17"/>
              </w:rPr>
              <w:t xml:space="preserve">Dist. (km)</w:t>
            </w:r>
          </w:p>
        </w:tc>
        <w:tc>
          <w:tcPr>
            <w:tcW w:type="dxa" w:w="1300"/>
            <w:shd w:fill="2f7d3a" w:color="auto" w:val="clear"/>
            <w:tcMar>
              <w:top w:type="dxa" w:w="60"/>
              <w:left w:type="dxa" w:w="110"/>
              <w:bottom w:type="dxa" w:w="60"/>
              <w:right w:type="dxa" w:w="110"/>
            </w:tcMar>
          </w:tcPr>
          <w:p>
            <w:pPr>
              <w:jc w:val="right"/>
            </w:pPr>
            <w:r>
              <w:rPr>
                <w:b/>
                <w:bCs/>
                <w:color w:val="ffffff"/>
                <w:sz w:val="17"/>
                <w:szCs w:val="17"/>
              </w:rPr>
              <w:t xml:space="preserve">% flete</w:t>
            </w:r>
          </w:p>
        </w:tc>
        <w:tc>
          <w:tcPr>
            <w:tcW w:type="dxa" w:w="1200"/>
            <w:shd w:fill="2f7d3a" w:color="auto" w:val="clear"/>
            <w:tcMar>
              <w:top w:type="dxa" w:w="60"/>
              <w:left w:type="dxa" w:w="110"/>
              <w:bottom w:type="dxa" w:w="60"/>
              <w:right w:type="dxa" w:w="110"/>
            </w:tcMar>
          </w:tcPr>
          <w:p>
            <w:pPr>
              <w:jc w:val="right"/>
            </w:pPr>
            <w:r>
              <w:rPr>
                <w:b/>
                <w:bCs/>
                <w:color w:val="ffffff"/>
                <w:sz w:val="17"/>
                <w:szCs w:val="17"/>
              </w:rPr>
              <w:t xml:space="preserve">Neto US$/tn</w:t>
            </w:r>
          </w:p>
        </w:tc>
      </w:tr>
      <w:tr>
        <w:tc>
          <w:tcPr>
            <w:tcW w:type="dxa" w:w="2300"/>
            <w:tcMar>
              <w:top w:type="dxa" w:w="60"/>
              <w:left w:type="dxa" w:w="110"/>
              <w:bottom w:type="dxa" w:w="60"/>
              <w:right w:type="dxa" w:w="110"/>
            </w:tcMar>
          </w:tcPr>
          <w:p>
            <w:pPr>
              <w:jc w:val="left"/>
            </w:pPr>
            <w:r>
              <w:rPr>
                <w:b w:val="false"/>
                <w:bCs w:val="false"/>
                <w:color w:val="222222"/>
                <w:sz w:val="17"/>
                <w:szCs w:val="17"/>
              </w:rPr>
              <w:t xml:space="preserve">SAN LORENZO</w:t>
            </w:r>
          </w:p>
        </w:tc>
        <w:tc>
          <w:tcPr>
            <w:tcW w:type="dxa" w:w="1900"/>
            <w:tcMar>
              <w:top w:type="dxa" w:w="60"/>
              <w:left w:type="dxa" w:w="110"/>
              <w:bottom w:type="dxa" w:w="60"/>
              <w:right w:type="dxa" w:w="110"/>
            </w:tcMar>
          </w:tcPr>
          <w:p>
            <w:pPr>
              <w:jc w:val="left"/>
            </w:pPr>
            <w:r>
              <w:rPr>
                <w:b w:val="false"/>
                <w:bCs w:val="false"/>
                <w:color w:val="222222"/>
                <w:sz w:val="17"/>
                <w:szCs w:val="17"/>
              </w:rPr>
              <w:t xml:space="preserve">SANTA FE</w:t>
            </w:r>
          </w:p>
        </w:tc>
        <w:tc>
          <w:tcPr>
            <w:tcW w:type="dxa" w:w="1200"/>
            <w:tcMar>
              <w:top w:type="dxa" w:w="60"/>
              <w:left w:type="dxa" w:w="110"/>
              <w:bottom w:type="dxa" w:w="60"/>
              <w:right w:type="dxa" w:w="110"/>
            </w:tcMar>
          </w:tcPr>
          <w:p>
            <w:pPr>
              <w:jc w:val="left"/>
            </w:pPr>
            <w:r>
              <w:rPr>
                <w:b w:val="false"/>
                <w:bCs w:val="false"/>
                <w:color w:val="222222"/>
                <w:sz w:val="17"/>
                <w:szCs w:val="17"/>
              </w:rPr>
              <w:t xml:space="preserve">Soja</w:t>
            </w:r>
          </w:p>
        </w:tc>
        <w:tc>
          <w:tcPr>
            <w:tcW w:type="dxa" w:w="1200"/>
            <w:tcMar>
              <w:top w:type="dxa" w:w="60"/>
              <w:left w:type="dxa" w:w="110"/>
              <w:bottom w:type="dxa" w:w="60"/>
              <w:right w:type="dxa" w:w="110"/>
            </w:tcMar>
          </w:tcPr>
          <w:p>
            <w:pPr>
              <w:jc w:val="right"/>
            </w:pPr>
            <w:r>
              <w:rPr>
                <w:b w:val="false"/>
                <w:bCs w:val="false"/>
                <w:color w:val="222222"/>
                <w:sz w:val="17"/>
                <w:szCs w:val="17"/>
              </w:rPr>
              <w:t xml:space="preserve">41,6</w:t>
            </w:r>
          </w:p>
        </w:tc>
        <w:tc>
          <w:tcPr>
            <w:tcW w:type="dxa" w:w="1300"/>
            <w:tcMar>
              <w:top w:type="dxa" w:w="60"/>
              <w:left w:type="dxa" w:w="110"/>
              <w:bottom w:type="dxa" w:w="60"/>
              <w:right w:type="dxa" w:w="110"/>
            </w:tcMar>
          </w:tcPr>
          <w:p>
            <w:pPr>
              <w:jc w:val="right"/>
            </w:pPr>
            <w:r>
              <w:rPr>
                <w:b w:val="false"/>
                <w:bCs w:val="false"/>
                <w:color w:val="222222"/>
                <w:sz w:val="17"/>
                <w:szCs w:val="17"/>
              </w:rPr>
              <w:t xml:space="preserve">3.7%</w:t>
            </w:r>
          </w:p>
        </w:tc>
        <w:tc>
          <w:tcPr>
            <w:tcW w:type="dxa" w:w="1200"/>
            <w:tcMar>
              <w:top w:type="dxa" w:w="60"/>
              <w:left w:type="dxa" w:w="110"/>
              <w:bottom w:type="dxa" w:w="60"/>
              <w:right w:type="dxa" w:w="110"/>
            </w:tcMar>
          </w:tcPr>
          <w:p>
            <w:pPr>
              <w:jc w:val="right"/>
            </w:pPr>
            <w:r>
              <w:rPr>
                <w:b w:val="false"/>
                <w:bCs w:val="false"/>
                <w:color w:val="222222"/>
                <w:sz w:val="17"/>
                <w:szCs w:val="17"/>
              </w:rPr>
              <w:t xml:space="preserve">324.3</w:t>
            </w:r>
          </w:p>
        </w:tc>
      </w:tr>
      <w:tr>
        <w:tc>
          <w:tcPr>
            <w:tcW w:type="dxa" w:w="2300"/>
            <w:shd w:fill="f2f2f2" w:color="auto" w:val="clear"/>
            <w:tcMar>
              <w:top w:type="dxa" w:w="60"/>
              <w:left w:type="dxa" w:w="110"/>
              <w:bottom w:type="dxa" w:w="60"/>
              <w:right w:type="dxa" w:w="110"/>
            </w:tcMar>
          </w:tcPr>
          <w:p>
            <w:pPr>
              <w:jc w:val="left"/>
            </w:pPr>
            <w:r>
              <w:rPr>
                <w:b w:val="false"/>
                <w:bCs w:val="false"/>
                <w:color w:val="222222"/>
                <w:sz w:val="17"/>
                <w:szCs w:val="17"/>
              </w:rPr>
              <w:t xml:space="preserve">ROSARIO</w:t>
            </w:r>
          </w:p>
        </w:tc>
        <w:tc>
          <w:tcPr>
            <w:tcW w:type="dxa" w:w="1900"/>
            <w:shd w:fill="f2f2f2" w:color="auto" w:val="clear"/>
            <w:tcMar>
              <w:top w:type="dxa" w:w="60"/>
              <w:left w:type="dxa" w:w="110"/>
              <w:bottom w:type="dxa" w:w="60"/>
              <w:right w:type="dxa" w:w="110"/>
            </w:tcMar>
          </w:tcPr>
          <w:p>
            <w:pPr>
              <w:jc w:val="left"/>
            </w:pPr>
            <w:r>
              <w:rPr>
                <w:b w:val="false"/>
                <w:bCs w:val="false"/>
                <w:color w:val="222222"/>
                <w:sz w:val="17"/>
                <w:szCs w:val="17"/>
              </w:rPr>
              <w:t xml:space="preserve">SANTA FE</w:t>
            </w:r>
          </w:p>
        </w:tc>
        <w:tc>
          <w:tcPr>
            <w:tcW w:type="dxa" w:w="1200"/>
            <w:shd w:fill="f2f2f2" w:color="auto" w:val="clear"/>
            <w:tcMar>
              <w:top w:type="dxa" w:w="60"/>
              <w:left w:type="dxa" w:w="110"/>
              <w:bottom w:type="dxa" w:w="60"/>
              <w:right w:type="dxa" w:w="110"/>
            </w:tcMar>
          </w:tcPr>
          <w:p>
            <w:pPr>
              <w:jc w:val="left"/>
            </w:pPr>
            <w:r>
              <w:rPr>
                <w:b w:val="false"/>
                <w:bCs w:val="false"/>
                <w:color w:val="222222"/>
                <w:sz w:val="17"/>
                <w:szCs w:val="17"/>
              </w:rPr>
              <w:t xml:space="preserve">Soja</w:t>
            </w:r>
          </w:p>
        </w:tc>
        <w:tc>
          <w:tcPr>
            <w:tcW w:type="dxa" w:w="1200"/>
            <w:shd w:fill="f2f2f2" w:color="auto" w:val="clear"/>
            <w:tcMar>
              <w:top w:type="dxa" w:w="60"/>
              <w:left w:type="dxa" w:w="110"/>
              <w:bottom w:type="dxa" w:w="60"/>
              <w:right w:type="dxa" w:w="110"/>
            </w:tcMar>
          </w:tcPr>
          <w:p>
            <w:pPr>
              <w:jc w:val="right"/>
            </w:pPr>
            <w:r>
              <w:rPr>
                <w:b w:val="false"/>
                <w:bCs w:val="false"/>
                <w:color w:val="222222"/>
                <w:sz w:val="17"/>
                <w:szCs w:val="17"/>
              </w:rPr>
              <w:t xml:space="preserve">53,4</w:t>
            </w:r>
          </w:p>
        </w:tc>
        <w:tc>
          <w:tcPr>
            <w:tcW w:type="dxa" w:w="1300"/>
            <w:shd w:fill="f2f2f2" w:color="auto" w:val="clear"/>
            <w:tcMar>
              <w:top w:type="dxa" w:w="60"/>
              <w:left w:type="dxa" w:w="110"/>
              <w:bottom w:type="dxa" w:w="60"/>
              <w:right w:type="dxa" w:w="110"/>
            </w:tcMar>
          </w:tcPr>
          <w:p>
            <w:pPr>
              <w:jc w:val="right"/>
            </w:pPr>
            <w:r>
              <w:rPr>
                <w:b w:val="false"/>
                <w:bCs w:val="false"/>
                <w:color w:val="222222"/>
                <w:sz w:val="17"/>
                <w:szCs w:val="17"/>
              </w:rPr>
              <w:t xml:space="preserve">4.2%</w:t>
            </w:r>
          </w:p>
        </w:tc>
        <w:tc>
          <w:tcPr>
            <w:tcW w:type="dxa" w:w="1200"/>
            <w:shd w:fill="f2f2f2" w:color="auto" w:val="clear"/>
            <w:tcMar>
              <w:top w:type="dxa" w:w="60"/>
              <w:left w:type="dxa" w:w="110"/>
              <w:bottom w:type="dxa" w:w="60"/>
              <w:right w:type="dxa" w:w="110"/>
            </w:tcMar>
          </w:tcPr>
          <w:p>
            <w:pPr>
              <w:jc w:val="right"/>
            </w:pPr>
            <w:r>
              <w:rPr>
                <w:b w:val="false"/>
                <w:bCs w:val="false"/>
                <w:color w:val="222222"/>
                <w:sz w:val="17"/>
                <w:szCs w:val="17"/>
              </w:rPr>
              <w:t xml:space="preserve">322.7</w:t>
            </w:r>
          </w:p>
        </w:tc>
      </w:tr>
      <w:tr>
        <w:tc>
          <w:tcPr>
            <w:tcW w:type="dxa" w:w="2300"/>
            <w:tcMar>
              <w:top w:type="dxa" w:w="60"/>
              <w:left w:type="dxa" w:w="110"/>
              <w:bottom w:type="dxa" w:w="60"/>
              <w:right w:type="dxa" w:w="110"/>
            </w:tcMar>
          </w:tcPr>
          <w:p>
            <w:pPr>
              <w:jc w:val="left"/>
            </w:pPr>
            <w:r>
              <w:rPr>
                <w:b w:val="false"/>
                <w:bCs w:val="false"/>
                <w:color w:val="222222"/>
                <w:sz w:val="17"/>
                <w:szCs w:val="17"/>
              </w:rPr>
              <w:t xml:space="preserve">NECOCHEA</w:t>
            </w:r>
          </w:p>
        </w:tc>
        <w:tc>
          <w:tcPr>
            <w:tcW w:type="dxa" w:w="1900"/>
            <w:tcMar>
              <w:top w:type="dxa" w:w="60"/>
              <w:left w:type="dxa" w:w="110"/>
              <w:bottom w:type="dxa" w:w="60"/>
              <w:right w:type="dxa" w:w="110"/>
            </w:tcMar>
          </w:tcPr>
          <w:p>
            <w:pPr>
              <w:jc w:val="left"/>
            </w:pPr>
            <w:r>
              <w:rPr>
                <w:b w:val="false"/>
                <w:bCs w:val="false"/>
                <w:color w:val="222222"/>
                <w:sz w:val="17"/>
                <w:szCs w:val="17"/>
              </w:rPr>
              <w:t xml:space="preserve">BUENOS AIRES</w:t>
            </w:r>
          </w:p>
        </w:tc>
        <w:tc>
          <w:tcPr>
            <w:tcW w:type="dxa" w:w="1200"/>
            <w:tcMar>
              <w:top w:type="dxa" w:w="60"/>
              <w:left w:type="dxa" w:w="110"/>
              <w:bottom w:type="dxa" w:w="60"/>
              <w:right w:type="dxa" w:w="110"/>
            </w:tcMar>
          </w:tcPr>
          <w:p>
            <w:pPr>
              <w:jc w:val="left"/>
            </w:pPr>
            <w:r>
              <w:rPr>
                <w:b w:val="false"/>
                <w:bCs w:val="false"/>
                <w:color w:val="222222"/>
                <w:sz w:val="17"/>
                <w:szCs w:val="17"/>
              </w:rPr>
              <w:t xml:space="preserve">Soja</w:t>
            </w:r>
          </w:p>
        </w:tc>
        <w:tc>
          <w:tcPr>
            <w:tcW w:type="dxa" w:w="1200"/>
            <w:tcMar>
              <w:top w:type="dxa" w:w="60"/>
              <w:left w:type="dxa" w:w="110"/>
              <w:bottom w:type="dxa" w:w="60"/>
              <w:right w:type="dxa" w:w="110"/>
            </w:tcMar>
          </w:tcPr>
          <w:p>
            <w:pPr>
              <w:jc w:val="right"/>
            </w:pPr>
            <w:r>
              <w:rPr>
                <w:b w:val="false"/>
                <w:bCs w:val="false"/>
                <w:color w:val="222222"/>
                <w:sz w:val="17"/>
                <w:szCs w:val="17"/>
              </w:rPr>
              <w:t xml:space="preserve">57,1</w:t>
            </w:r>
          </w:p>
        </w:tc>
        <w:tc>
          <w:tcPr>
            <w:tcW w:type="dxa" w:w="1300"/>
            <w:tcMar>
              <w:top w:type="dxa" w:w="60"/>
              <w:left w:type="dxa" w:w="110"/>
              <w:bottom w:type="dxa" w:w="60"/>
              <w:right w:type="dxa" w:w="110"/>
            </w:tcMar>
          </w:tcPr>
          <w:p>
            <w:pPr>
              <w:jc w:val="right"/>
            </w:pPr>
            <w:r>
              <w:rPr>
                <w:b w:val="false"/>
                <w:bCs w:val="false"/>
                <w:color w:val="222222"/>
                <w:sz w:val="17"/>
                <w:szCs w:val="17"/>
              </w:rPr>
              <w:t xml:space="preserve">4.3%</w:t>
            </w:r>
          </w:p>
        </w:tc>
        <w:tc>
          <w:tcPr>
            <w:tcW w:type="dxa" w:w="1200"/>
            <w:tcMar>
              <w:top w:type="dxa" w:w="60"/>
              <w:left w:type="dxa" w:w="110"/>
              <w:bottom w:type="dxa" w:w="60"/>
              <w:right w:type="dxa" w:w="110"/>
            </w:tcMar>
          </w:tcPr>
          <w:p>
            <w:pPr>
              <w:jc w:val="right"/>
            </w:pPr>
            <w:r>
              <w:rPr>
                <w:b w:val="false"/>
                <w:bCs w:val="false"/>
                <w:color w:val="222222"/>
                <w:sz w:val="17"/>
                <w:szCs w:val="17"/>
              </w:rPr>
              <w:t xml:space="preserve">322.3</w:t>
            </w:r>
          </w:p>
        </w:tc>
      </w:tr>
      <w:tr>
        <w:tc>
          <w:tcPr>
            <w:tcW w:type="dxa" w:w="2300"/>
            <w:shd w:fill="f2f2f2" w:color="auto" w:val="clear"/>
            <w:tcMar>
              <w:top w:type="dxa" w:w="60"/>
              <w:left w:type="dxa" w:w="110"/>
              <w:bottom w:type="dxa" w:w="60"/>
              <w:right w:type="dxa" w:w="110"/>
            </w:tcMar>
          </w:tcPr>
          <w:p>
            <w:pPr>
              <w:jc w:val="left"/>
            </w:pPr>
            <w:r>
              <w:rPr>
                <w:b w:val="false"/>
                <w:bCs w:val="false"/>
                <w:color w:val="222222"/>
                <w:sz w:val="17"/>
                <w:szCs w:val="17"/>
              </w:rPr>
              <w:t xml:space="preserve">LOBERIA</w:t>
            </w:r>
          </w:p>
        </w:tc>
        <w:tc>
          <w:tcPr>
            <w:tcW w:type="dxa" w:w="1900"/>
            <w:shd w:fill="f2f2f2" w:color="auto" w:val="clear"/>
            <w:tcMar>
              <w:top w:type="dxa" w:w="60"/>
              <w:left w:type="dxa" w:w="110"/>
              <w:bottom w:type="dxa" w:w="60"/>
              <w:right w:type="dxa" w:w="110"/>
            </w:tcMar>
          </w:tcPr>
          <w:p>
            <w:pPr>
              <w:jc w:val="left"/>
            </w:pPr>
            <w:r>
              <w:rPr>
                <w:b w:val="false"/>
                <w:bCs w:val="false"/>
                <w:color w:val="222222"/>
                <w:sz w:val="17"/>
                <w:szCs w:val="17"/>
              </w:rPr>
              <w:t xml:space="preserve">BUENOS AIRES</w:t>
            </w:r>
          </w:p>
        </w:tc>
        <w:tc>
          <w:tcPr>
            <w:tcW w:type="dxa" w:w="1200"/>
            <w:shd w:fill="f2f2f2" w:color="auto" w:val="clear"/>
            <w:tcMar>
              <w:top w:type="dxa" w:w="60"/>
              <w:left w:type="dxa" w:w="110"/>
              <w:bottom w:type="dxa" w:w="60"/>
              <w:right w:type="dxa" w:w="110"/>
            </w:tcMar>
          </w:tcPr>
          <w:p>
            <w:pPr>
              <w:jc w:val="left"/>
            </w:pPr>
            <w:r>
              <w:rPr>
                <w:b w:val="false"/>
                <w:bCs w:val="false"/>
                <w:color w:val="222222"/>
                <w:sz w:val="17"/>
                <w:szCs w:val="17"/>
              </w:rPr>
              <w:t xml:space="preserve">Soja</w:t>
            </w:r>
          </w:p>
        </w:tc>
        <w:tc>
          <w:tcPr>
            <w:tcW w:type="dxa" w:w="1200"/>
            <w:shd w:fill="f2f2f2" w:color="auto" w:val="clear"/>
            <w:tcMar>
              <w:top w:type="dxa" w:w="60"/>
              <w:left w:type="dxa" w:w="110"/>
              <w:bottom w:type="dxa" w:w="60"/>
              <w:right w:type="dxa" w:w="110"/>
            </w:tcMar>
          </w:tcPr>
          <w:p>
            <w:pPr>
              <w:jc w:val="right"/>
            </w:pPr>
            <w:r>
              <w:rPr>
                <w:b w:val="false"/>
                <w:bCs w:val="false"/>
                <w:color w:val="222222"/>
                <w:sz w:val="17"/>
                <w:szCs w:val="17"/>
              </w:rPr>
              <w:t xml:space="preserve">60,8</w:t>
            </w:r>
          </w:p>
        </w:tc>
        <w:tc>
          <w:tcPr>
            <w:tcW w:type="dxa" w:w="1300"/>
            <w:shd w:fill="f2f2f2" w:color="auto" w:val="clear"/>
            <w:tcMar>
              <w:top w:type="dxa" w:w="60"/>
              <w:left w:type="dxa" w:w="110"/>
              <w:bottom w:type="dxa" w:w="60"/>
              <w:right w:type="dxa" w:w="110"/>
            </w:tcMar>
          </w:tcPr>
          <w:p>
            <w:pPr>
              <w:jc w:val="right"/>
            </w:pPr>
            <w:r>
              <w:rPr>
                <w:b w:val="false"/>
                <w:bCs w:val="false"/>
                <w:color w:val="222222"/>
                <w:sz w:val="17"/>
                <w:szCs w:val="17"/>
              </w:rPr>
              <w:t xml:space="preserve">4.4%</w:t>
            </w:r>
          </w:p>
        </w:tc>
        <w:tc>
          <w:tcPr>
            <w:tcW w:type="dxa" w:w="1200"/>
            <w:shd w:fill="f2f2f2" w:color="auto" w:val="clear"/>
            <w:tcMar>
              <w:top w:type="dxa" w:w="60"/>
              <w:left w:type="dxa" w:w="110"/>
              <w:bottom w:type="dxa" w:w="60"/>
              <w:right w:type="dxa" w:w="110"/>
            </w:tcMar>
          </w:tcPr>
          <w:p>
            <w:pPr>
              <w:jc w:val="right"/>
            </w:pPr>
            <w:r>
              <w:rPr>
                <w:b w:val="false"/>
                <w:bCs w:val="false"/>
                <w:color w:val="222222"/>
                <w:sz w:val="17"/>
                <w:szCs w:val="17"/>
              </w:rPr>
              <w:t xml:space="preserve">321.8</w:t>
            </w:r>
          </w:p>
        </w:tc>
      </w:tr>
      <w:tr>
        <w:tc>
          <w:tcPr>
            <w:tcW w:type="dxa" w:w="2300"/>
            <w:tcMar>
              <w:top w:type="dxa" w:w="60"/>
              <w:left w:type="dxa" w:w="110"/>
              <w:bottom w:type="dxa" w:w="60"/>
              <w:right w:type="dxa" w:w="110"/>
            </w:tcMar>
          </w:tcPr>
          <w:p>
            <w:pPr>
              <w:jc w:val="left"/>
            </w:pPr>
            <w:r>
              <w:rPr>
                <w:b w:val="false"/>
                <w:bCs w:val="false"/>
                <w:color w:val="222222"/>
                <w:sz w:val="17"/>
                <w:szCs w:val="17"/>
              </w:rPr>
              <w:t xml:space="preserve">VICTORIA</w:t>
            </w:r>
          </w:p>
        </w:tc>
        <w:tc>
          <w:tcPr>
            <w:tcW w:type="dxa" w:w="1900"/>
            <w:tcMar>
              <w:top w:type="dxa" w:w="60"/>
              <w:left w:type="dxa" w:w="110"/>
              <w:bottom w:type="dxa" w:w="60"/>
              <w:right w:type="dxa" w:w="110"/>
            </w:tcMar>
          </w:tcPr>
          <w:p>
            <w:pPr>
              <w:jc w:val="left"/>
            </w:pPr>
            <w:r>
              <w:rPr>
                <w:b w:val="false"/>
                <w:bCs w:val="false"/>
                <w:color w:val="222222"/>
                <w:sz w:val="17"/>
                <w:szCs w:val="17"/>
              </w:rPr>
              <w:t xml:space="preserve">ENTRE RIOS</w:t>
            </w:r>
          </w:p>
        </w:tc>
        <w:tc>
          <w:tcPr>
            <w:tcW w:type="dxa" w:w="1200"/>
            <w:tcMar>
              <w:top w:type="dxa" w:w="60"/>
              <w:left w:type="dxa" w:w="110"/>
              <w:bottom w:type="dxa" w:w="60"/>
              <w:right w:type="dxa" w:w="110"/>
            </w:tcMar>
          </w:tcPr>
          <w:p>
            <w:pPr>
              <w:jc w:val="left"/>
            </w:pPr>
            <w:r>
              <w:rPr>
                <w:b w:val="false"/>
                <w:bCs w:val="false"/>
                <w:color w:val="222222"/>
                <w:sz w:val="17"/>
                <w:szCs w:val="17"/>
              </w:rPr>
              <w:t xml:space="preserve">Soja</w:t>
            </w:r>
          </w:p>
        </w:tc>
        <w:tc>
          <w:tcPr>
            <w:tcW w:type="dxa" w:w="1200"/>
            <w:tcMar>
              <w:top w:type="dxa" w:w="60"/>
              <w:left w:type="dxa" w:w="110"/>
              <w:bottom w:type="dxa" w:w="60"/>
              <w:right w:type="dxa" w:w="110"/>
            </w:tcMar>
          </w:tcPr>
          <w:p>
            <w:pPr>
              <w:jc w:val="right"/>
            </w:pPr>
            <w:r>
              <w:rPr>
                <w:b w:val="false"/>
                <w:bCs w:val="false"/>
                <w:color w:val="222222"/>
                <w:sz w:val="17"/>
                <w:szCs w:val="17"/>
              </w:rPr>
              <w:t xml:space="preserve">67,7</w:t>
            </w:r>
          </w:p>
        </w:tc>
        <w:tc>
          <w:tcPr>
            <w:tcW w:type="dxa" w:w="1300"/>
            <w:tcMar>
              <w:top w:type="dxa" w:w="60"/>
              <w:left w:type="dxa" w:w="110"/>
              <w:bottom w:type="dxa" w:w="60"/>
              <w:right w:type="dxa" w:w="110"/>
            </w:tcMar>
          </w:tcPr>
          <w:p>
            <w:pPr>
              <w:jc w:val="right"/>
            </w:pPr>
            <w:r>
              <w:rPr>
                <w:b w:val="false"/>
                <w:bCs w:val="false"/>
                <w:color w:val="222222"/>
                <w:sz w:val="17"/>
                <w:szCs w:val="17"/>
              </w:rPr>
              <w:t xml:space="preserve">4.7%</w:t>
            </w:r>
          </w:p>
        </w:tc>
        <w:tc>
          <w:tcPr>
            <w:tcW w:type="dxa" w:w="1200"/>
            <w:tcMar>
              <w:top w:type="dxa" w:w="60"/>
              <w:left w:type="dxa" w:w="110"/>
              <w:bottom w:type="dxa" w:w="60"/>
              <w:right w:type="dxa" w:w="110"/>
            </w:tcMar>
          </w:tcPr>
          <w:p>
            <w:pPr>
              <w:jc w:val="right"/>
            </w:pPr>
            <w:r>
              <w:rPr>
                <w:b w:val="false"/>
                <w:bCs w:val="false"/>
                <w:color w:val="222222"/>
                <w:sz w:val="17"/>
                <w:szCs w:val="17"/>
              </w:rPr>
              <w:t xml:space="preserve">321.0</w:t>
            </w:r>
          </w:p>
        </w:tc>
      </w:tr>
      <w:tr>
        <w:tc>
          <w:tcPr>
            <w:tcW w:type="dxa" w:w="2300"/>
            <w:shd w:fill="f2f2f2" w:color="auto" w:val="clear"/>
            <w:tcMar>
              <w:top w:type="dxa" w:w="60"/>
              <w:left w:type="dxa" w:w="110"/>
              <w:bottom w:type="dxa" w:w="60"/>
              <w:right w:type="dxa" w:w="110"/>
            </w:tcMar>
          </w:tcPr>
          <w:p>
            <w:pPr>
              <w:jc w:val="left"/>
            </w:pPr>
            <w:r>
              <w:rPr>
                <w:b w:val="false"/>
                <w:bCs w:val="false"/>
                <w:color w:val="222222"/>
                <w:sz w:val="17"/>
                <w:szCs w:val="17"/>
              </w:rPr>
              <w:t xml:space="preserve">TORNQUIST</w:t>
            </w:r>
          </w:p>
        </w:tc>
        <w:tc>
          <w:tcPr>
            <w:tcW w:type="dxa" w:w="1900"/>
            <w:shd w:fill="f2f2f2" w:color="auto" w:val="clear"/>
            <w:tcMar>
              <w:top w:type="dxa" w:w="60"/>
              <w:left w:type="dxa" w:w="110"/>
              <w:bottom w:type="dxa" w:w="60"/>
              <w:right w:type="dxa" w:w="110"/>
            </w:tcMar>
          </w:tcPr>
          <w:p>
            <w:pPr>
              <w:jc w:val="left"/>
            </w:pPr>
            <w:r>
              <w:rPr>
                <w:b w:val="false"/>
                <w:bCs w:val="false"/>
                <w:color w:val="222222"/>
                <w:sz w:val="17"/>
                <w:szCs w:val="17"/>
              </w:rPr>
              <w:t xml:space="preserve">BUENOS AIRES</w:t>
            </w:r>
          </w:p>
        </w:tc>
        <w:tc>
          <w:tcPr>
            <w:tcW w:type="dxa" w:w="1200"/>
            <w:shd w:fill="f2f2f2" w:color="auto" w:val="clear"/>
            <w:tcMar>
              <w:top w:type="dxa" w:w="60"/>
              <w:left w:type="dxa" w:w="110"/>
              <w:bottom w:type="dxa" w:w="60"/>
              <w:right w:type="dxa" w:w="110"/>
            </w:tcMar>
          </w:tcPr>
          <w:p>
            <w:pPr>
              <w:jc w:val="left"/>
            </w:pPr>
            <w:r>
              <w:rPr>
                <w:b w:val="false"/>
                <w:bCs w:val="false"/>
                <w:color w:val="222222"/>
                <w:sz w:val="17"/>
                <w:szCs w:val="17"/>
              </w:rPr>
              <w:t xml:space="preserve">Soja</w:t>
            </w:r>
          </w:p>
        </w:tc>
        <w:tc>
          <w:tcPr>
            <w:tcW w:type="dxa" w:w="1200"/>
            <w:shd w:fill="f2f2f2" w:color="auto" w:val="clear"/>
            <w:tcMar>
              <w:top w:type="dxa" w:w="60"/>
              <w:left w:type="dxa" w:w="110"/>
              <w:bottom w:type="dxa" w:w="60"/>
              <w:right w:type="dxa" w:w="110"/>
            </w:tcMar>
          </w:tcPr>
          <w:p>
            <w:pPr>
              <w:jc w:val="right"/>
            </w:pPr>
            <w:r>
              <w:rPr>
                <w:b w:val="false"/>
                <w:bCs w:val="false"/>
                <w:color w:val="222222"/>
                <w:sz w:val="17"/>
                <w:szCs w:val="17"/>
              </w:rPr>
              <w:t xml:space="preserve">69,8</w:t>
            </w:r>
          </w:p>
        </w:tc>
        <w:tc>
          <w:tcPr>
            <w:tcW w:type="dxa" w:w="1300"/>
            <w:shd w:fill="f2f2f2" w:color="auto" w:val="clear"/>
            <w:tcMar>
              <w:top w:type="dxa" w:w="60"/>
              <w:left w:type="dxa" w:w="110"/>
              <w:bottom w:type="dxa" w:w="60"/>
              <w:right w:type="dxa" w:w="110"/>
            </w:tcMar>
          </w:tcPr>
          <w:p>
            <w:pPr>
              <w:jc w:val="right"/>
            </w:pPr>
            <w:r>
              <w:rPr>
                <w:b w:val="false"/>
                <w:bCs w:val="false"/>
                <w:color w:val="222222"/>
                <w:sz w:val="17"/>
                <w:szCs w:val="17"/>
              </w:rPr>
              <w:t xml:space="preserve">4.8%</w:t>
            </w:r>
          </w:p>
        </w:tc>
        <w:tc>
          <w:tcPr>
            <w:tcW w:type="dxa" w:w="1200"/>
            <w:shd w:fill="f2f2f2" w:color="auto" w:val="clear"/>
            <w:tcMar>
              <w:top w:type="dxa" w:w="60"/>
              <w:left w:type="dxa" w:w="110"/>
              <w:bottom w:type="dxa" w:w="60"/>
              <w:right w:type="dxa" w:w="110"/>
            </w:tcMar>
          </w:tcPr>
          <w:p>
            <w:pPr>
              <w:jc w:val="right"/>
            </w:pPr>
            <w:r>
              <w:rPr>
                <w:b w:val="false"/>
                <w:bCs w:val="false"/>
                <w:color w:val="222222"/>
                <w:sz w:val="17"/>
                <w:szCs w:val="17"/>
              </w:rPr>
              <w:t xml:space="preserve">320.7</w:t>
            </w:r>
          </w:p>
        </w:tc>
      </w:tr>
    </w:tbl>
    <w:p>
      <w:r>
        <w:br w:type="page"/>
      </w:r>
    </w:p>
    <w:p>
      <w:pPr>
        <w:pStyle w:val="Heading1"/>
        <w:spacing w:after="120" w:before="280"/>
      </w:pPr>
      <w:r>
        <w:rPr>
          <w:b/>
          <w:bCs/>
          <w:color w:val="12305e"/>
        </w:rPr>
        <w:t xml:space="preserve">Costo logístico por provincia</w:t>
      </w:r>
    </w:p>
    <w:p>
      <w:pPr>
        <w:spacing w:after="140" w:line="276"/>
        <w:jc w:val="both"/>
      </w:pPr>
      <w:r>
        <w:rPr>
          <w:sz w:val="21"/>
          <w:szCs w:val="21"/>
        </w:rPr>
        <w:t xml:space="preserve">Traducido a dinero, el mapa se ordena por volumen. Córdoba y Buenos Aires concentran el grueso del costo logístico absoluto pese a tener porcentajes moderados, por su enorme producción. En el otro extremo, provincias como Salta (42 %) o Misiones (47 %) exhiben las intensidades más altas, aunque su bajo volumen limita el monto total.</w:t>
      </w:r>
    </w:p>
    <w:p>
      <w:pPr>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81375"/>
                    </a:xfrm>
                    <a:prstGeom prst="rect">
                      <a:avLst/>
                    </a:prstGeom>
                  </pic:spPr>
                </pic:pic>
              </a:graphicData>
            </a:graphic>
          </wp:inline>
        </w:drawing>
      </w:r>
    </w:p>
    <w:p>
      <w:pPr>
        <w:spacing w:after="120" w:before="160"/>
      </w:pPr>
      <w:r>
        <w:rPr>
          <w:color w:val="595959"/>
          <w:sz w:val="19"/>
          <w:szCs w:val="19"/>
        </w:rPr>
        <w:t xml:space="preserve">Detalle de las doce provincias con mayor costo logístico total (valuado a tarifa de referencia FeTrA y tipo de cambio de fin de marzo; órdenes de magnitud):</w:t>
      </w:r>
    </w:p>
    <w:tbl>
      <w:tblPr>
        <w:tblW w:type="dxa" w:w="8900"/>
        <w:tblBorders>
          <w:top w:val="single" w:color="b8c4d9" w:sz="2"/>
          <w:left w:val="none"/>
          <w:bottom w:val="single" w:color="b8c4d9" w:sz="2"/>
          <w:right w:val="none"/>
          <w:insideH w:val="single" w:color="b8c4d9" w:sz="1"/>
          <w:insideV w:val="none"/>
        </w:tblBorders>
      </w:tblPr>
      <w:tblGrid>
        <w:gridCol w:w="2600"/>
        <w:gridCol w:w="2100"/>
        <w:gridCol w:w="2100"/>
        <w:gridCol w:w="2100"/>
      </w:tblGrid>
      <w:tr>
        <w:trPr>
          <w:tblHeader/>
        </w:trPr>
        <w:tc>
          <w:tcPr>
            <w:tcW w:type="dxa" w:w="2600"/>
            <w:shd w:fill="12305e" w:color="auto" w:val="clear"/>
            <w:tcMar>
              <w:top w:type="dxa" w:w="60"/>
              <w:left w:type="dxa" w:w="110"/>
              <w:bottom w:type="dxa" w:w="60"/>
              <w:right w:type="dxa" w:w="110"/>
            </w:tcMar>
          </w:tcPr>
          <w:p>
            <w:pPr>
              <w:jc w:val="left"/>
            </w:pPr>
            <w:r>
              <w:rPr>
                <w:b/>
                <w:bCs/>
                <w:color w:val="ffffff"/>
                <w:sz w:val="17"/>
                <w:szCs w:val="17"/>
              </w:rPr>
              <w:t xml:space="preserve">Provincia</w:t>
            </w:r>
          </w:p>
        </w:tc>
        <w:tc>
          <w:tcPr>
            <w:tcW w:type="dxa" w:w="2100"/>
            <w:shd w:fill="12305e" w:color="auto" w:val="clear"/>
            <w:tcMar>
              <w:top w:type="dxa" w:w="60"/>
              <w:left w:type="dxa" w:w="110"/>
              <w:bottom w:type="dxa" w:w="60"/>
              <w:right w:type="dxa" w:w="110"/>
            </w:tcMar>
          </w:tcPr>
          <w:p>
            <w:pPr>
              <w:jc w:val="right"/>
            </w:pPr>
            <w:r>
              <w:rPr>
                <w:b/>
                <w:bCs/>
                <w:color w:val="ffffff"/>
                <w:sz w:val="17"/>
                <w:szCs w:val="17"/>
              </w:rPr>
              <w:t xml:space="preserve">Flete perdido (US$ M)</w:t>
            </w:r>
          </w:p>
        </w:tc>
        <w:tc>
          <w:tcPr>
            <w:tcW w:type="dxa" w:w="2100"/>
            <w:shd w:fill="12305e" w:color="auto" w:val="clear"/>
            <w:tcMar>
              <w:top w:type="dxa" w:w="60"/>
              <w:left w:type="dxa" w:w="110"/>
              <w:bottom w:type="dxa" w:w="60"/>
              <w:right w:type="dxa" w:w="110"/>
            </w:tcMar>
          </w:tcPr>
          <w:p>
            <w:pPr>
              <w:jc w:val="right"/>
            </w:pPr>
            <w:r>
              <w:rPr>
                <w:b/>
                <w:bCs/>
                <w:color w:val="ffffff"/>
                <w:sz w:val="17"/>
                <w:szCs w:val="17"/>
              </w:rPr>
              <w:t xml:space="preserve">% ponderado</w:t>
            </w:r>
          </w:p>
        </w:tc>
        <w:tc>
          <w:tcPr>
            <w:tcW w:type="dxa" w:w="2100"/>
            <w:shd w:fill="12305e" w:color="auto" w:val="clear"/>
            <w:tcMar>
              <w:top w:type="dxa" w:w="60"/>
              <w:left w:type="dxa" w:w="110"/>
              <w:bottom w:type="dxa" w:w="60"/>
              <w:right w:type="dxa" w:w="110"/>
            </w:tcMar>
          </w:tcPr>
          <w:p>
            <w:pPr>
              <w:jc w:val="right"/>
            </w:pPr>
            <w:r>
              <w:rPr>
                <w:b/>
                <w:bCs/>
                <w:color w:val="ffffff"/>
                <w:sz w:val="17"/>
                <w:szCs w:val="17"/>
              </w:rPr>
              <w:t xml:space="preserve">Producción (M tn)</w:t>
            </w:r>
          </w:p>
        </w:tc>
      </w:tr>
      <w:tr>
        <w:tc>
          <w:tcPr>
            <w:tcW w:type="dxa" w:w="2600"/>
            <w:tcMar>
              <w:top w:type="dxa" w:w="60"/>
              <w:left w:type="dxa" w:w="110"/>
              <w:bottom w:type="dxa" w:w="60"/>
              <w:right w:type="dxa" w:w="110"/>
            </w:tcMar>
          </w:tcPr>
          <w:p>
            <w:pPr>
              <w:jc w:val="left"/>
            </w:pPr>
            <w:r>
              <w:rPr>
                <w:b w:val="false"/>
                <w:bCs w:val="false"/>
                <w:color w:val="222222"/>
                <w:sz w:val="17"/>
                <w:szCs w:val="17"/>
              </w:rPr>
              <w:t xml:space="preserve">CORDOBA</w:t>
            </w:r>
          </w:p>
        </w:tc>
        <w:tc>
          <w:tcPr>
            <w:tcW w:type="dxa" w:w="2100"/>
            <w:tcMar>
              <w:top w:type="dxa" w:w="60"/>
              <w:left w:type="dxa" w:w="110"/>
              <w:bottom w:type="dxa" w:w="60"/>
              <w:right w:type="dxa" w:w="110"/>
            </w:tcMar>
          </w:tcPr>
          <w:p>
            <w:pPr>
              <w:jc w:val="right"/>
            </w:pPr>
            <w:r>
              <w:rPr>
                <w:b w:val="false"/>
                <w:bCs w:val="false"/>
                <w:color w:val="222222"/>
                <w:sz w:val="17"/>
                <w:szCs w:val="17"/>
              </w:rPr>
              <w:t xml:space="preserve">~1578</w:t>
            </w:r>
          </w:p>
        </w:tc>
        <w:tc>
          <w:tcPr>
            <w:tcW w:type="dxa" w:w="2100"/>
            <w:tcMar>
              <w:top w:type="dxa" w:w="60"/>
              <w:left w:type="dxa" w:w="110"/>
              <w:bottom w:type="dxa" w:w="60"/>
              <w:right w:type="dxa" w:w="110"/>
            </w:tcMar>
          </w:tcPr>
          <w:p>
            <w:pPr>
              <w:jc w:val="right"/>
            </w:pPr>
            <w:r>
              <w:rPr>
                <w:b w:val="false"/>
                <w:bCs w:val="false"/>
                <w:color w:val="222222"/>
                <w:sz w:val="17"/>
                <w:szCs w:val="17"/>
              </w:rPr>
              <w:t xml:space="preserve">21.7%</w:t>
            </w:r>
          </w:p>
        </w:tc>
        <w:tc>
          <w:tcPr>
            <w:tcW w:type="dxa" w:w="2100"/>
            <w:tcMar>
              <w:top w:type="dxa" w:w="60"/>
              <w:left w:type="dxa" w:w="110"/>
              <w:bottom w:type="dxa" w:w="60"/>
              <w:right w:type="dxa" w:w="110"/>
            </w:tcMar>
          </w:tcPr>
          <w:p>
            <w:pPr>
              <w:jc w:val="right"/>
            </w:pPr>
            <w:r>
              <w:rPr>
                <w:b w:val="false"/>
                <w:bCs w:val="false"/>
                <w:color w:val="222222"/>
                <w:sz w:val="17"/>
                <w:szCs w:val="17"/>
              </w:rPr>
              <w:t xml:space="preserve">32.6</w:t>
            </w:r>
          </w:p>
        </w:tc>
      </w:tr>
      <w:tr>
        <w:tc>
          <w:tcPr>
            <w:tcW w:type="dxa" w:w="2600"/>
            <w:shd w:fill="eef1f6" w:color="auto" w:val="clear"/>
            <w:tcMar>
              <w:top w:type="dxa" w:w="60"/>
              <w:left w:type="dxa" w:w="110"/>
              <w:bottom w:type="dxa" w:w="60"/>
              <w:right w:type="dxa" w:w="110"/>
            </w:tcMar>
          </w:tcPr>
          <w:p>
            <w:pPr>
              <w:jc w:val="left"/>
            </w:pPr>
            <w:r>
              <w:rPr>
                <w:b w:val="false"/>
                <w:bCs w:val="false"/>
                <w:color w:val="222222"/>
                <w:sz w:val="17"/>
                <w:szCs w:val="17"/>
              </w:rPr>
              <w:t xml:space="preserve">BUENOS AIRES</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~1288</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16.6%</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32.7</w:t>
            </w:r>
          </w:p>
        </w:tc>
      </w:tr>
      <w:tr>
        <w:tc>
          <w:tcPr>
            <w:tcW w:type="dxa" w:w="2600"/>
            <w:tcMar>
              <w:top w:type="dxa" w:w="60"/>
              <w:left w:type="dxa" w:w="110"/>
              <w:bottom w:type="dxa" w:w="60"/>
              <w:right w:type="dxa" w:w="110"/>
            </w:tcMar>
          </w:tcPr>
          <w:p>
            <w:pPr>
              <w:jc w:val="left"/>
            </w:pPr>
            <w:r>
              <w:rPr>
                <w:b w:val="false"/>
                <w:bCs w:val="false"/>
                <w:color w:val="222222"/>
                <w:sz w:val="17"/>
                <w:szCs w:val="17"/>
              </w:rPr>
              <w:t xml:space="preserve">SANTA FE</w:t>
            </w:r>
          </w:p>
        </w:tc>
        <w:tc>
          <w:tcPr>
            <w:tcW w:type="dxa" w:w="2100"/>
            <w:tcMar>
              <w:top w:type="dxa" w:w="60"/>
              <w:left w:type="dxa" w:w="110"/>
              <w:bottom w:type="dxa" w:w="60"/>
              <w:right w:type="dxa" w:w="110"/>
            </w:tcMar>
          </w:tcPr>
          <w:p>
            <w:pPr>
              <w:jc w:val="right"/>
            </w:pPr>
            <w:r>
              <w:rPr>
                <w:b w:val="false"/>
                <w:bCs w:val="false"/>
                <w:color w:val="222222"/>
                <w:sz w:val="17"/>
                <w:szCs w:val="17"/>
              </w:rPr>
              <w:t xml:space="preserve">~469</w:t>
            </w:r>
          </w:p>
        </w:tc>
        <w:tc>
          <w:tcPr>
            <w:tcW w:type="dxa" w:w="2100"/>
            <w:tcMar>
              <w:top w:type="dxa" w:w="60"/>
              <w:left w:type="dxa" w:w="110"/>
              <w:bottom w:type="dxa" w:w="60"/>
              <w:right w:type="dxa" w:w="110"/>
            </w:tcMar>
          </w:tcPr>
          <w:p>
            <w:pPr>
              <w:jc w:val="right"/>
            </w:pPr>
            <w:r>
              <w:rPr>
                <w:b w:val="false"/>
                <w:bCs w:val="false"/>
                <w:color w:val="222222"/>
                <w:sz w:val="17"/>
                <w:szCs w:val="17"/>
              </w:rPr>
              <w:t xml:space="preserve">10.7%</w:t>
            </w:r>
          </w:p>
        </w:tc>
        <w:tc>
          <w:tcPr>
            <w:tcW w:type="dxa" w:w="2100"/>
            <w:tcMar>
              <w:top w:type="dxa" w:w="60"/>
              <w:left w:type="dxa" w:w="110"/>
              <w:bottom w:type="dxa" w:w="60"/>
              <w:right w:type="dxa" w:w="110"/>
            </w:tcMar>
          </w:tcPr>
          <w:p>
            <w:pPr>
              <w:jc w:val="right"/>
            </w:pPr>
            <w:r>
              <w:rPr>
                <w:b w:val="false"/>
                <w:bCs w:val="false"/>
                <w:color w:val="222222"/>
                <w:sz w:val="17"/>
                <w:szCs w:val="17"/>
              </w:rPr>
              <w:t xml:space="preserve">16.7</w:t>
            </w:r>
          </w:p>
        </w:tc>
      </w:tr>
      <w:tr>
        <w:tc>
          <w:tcPr>
            <w:tcW w:type="dxa" w:w="2600"/>
            <w:shd w:fill="eef1f6" w:color="auto" w:val="clear"/>
            <w:tcMar>
              <w:top w:type="dxa" w:w="60"/>
              <w:left w:type="dxa" w:w="110"/>
              <w:bottom w:type="dxa" w:w="60"/>
              <w:right w:type="dxa" w:w="110"/>
            </w:tcMar>
          </w:tcPr>
          <w:p>
            <w:pPr>
              <w:jc w:val="left"/>
            </w:pPr>
            <w:r>
              <w:rPr>
                <w:b w:val="false"/>
                <w:bCs w:val="false"/>
                <w:color w:val="222222"/>
                <w:sz w:val="17"/>
                <w:szCs w:val="17"/>
              </w:rPr>
              <w:t xml:space="preserve">SANTIAGO DEL ESTERO</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~307</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27.0%</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4.5</w:t>
            </w:r>
          </w:p>
        </w:tc>
      </w:tr>
      <w:tr>
        <w:tc>
          <w:tcPr>
            <w:tcW w:type="dxa" w:w="2600"/>
            <w:tcMar>
              <w:top w:type="dxa" w:w="60"/>
              <w:left w:type="dxa" w:w="110"/>
              <w:bottom w:type="dxa" w:w="60"/>
              <w:right w:type="dxa" w:w="110"/>
            </w:tcMar>
          </w:tcPr>
          <w:p>
            <w:pPr>
              <w:jc w:val="left"/>
            </w:pPr>
            <w:r>
              <w:rPr>
                <w:b w:val="false"/>
                <w:bCs w:val="false"/>
                <w:color w:val="222222"/>
                <w:sz w:val="17"/>
                <w:szCs w:val="17"/>
              </w:rPr>
              <w:t xml:space="preserve">LA PAMPA</w:t>
            </w:r>
          </w:p>
        </w:tc>
        <w:tc>
          <w:tcPr>
            <w:tcW w:type="dxa" w:w="2100"/>
            <w:tcMar>
              <w:top w:type="dxa" w:w="60"/>
              <w:left w:type="dxa" w:w="110"/>
              <w:bottom w:type="dxa" w:w="60"/>
              <w:right w:type="dxa" w:w="110"/>
            </w:tcMar>
          </w:tcPr>
          <w:p>
            <w:pPr>
              <w:jc w:val="right"/>
            </w:pPr>
            <w:r>
              <w:rPr>
                <w:b w:val="false"/>
                <w:bCs w:val="false"/>
                <w:color w:val="222222"/>
                <w:sz w:val="17"/>
                <w:szCs w:val="17"/>
              </w:rPr>
              <w:t xml:space="preserve">~218</w:t>
            </w:r>
          </w:p>
        </w:tc>
        <w:tc>
          <w:tcPr>
            <w:tcW w:type="dxa" w:w="2100"/>
            <w:tcMar>
              <w:top w:type="dxa" w:w="60"/>
              <w:left w:type="dxa" w:w="110"/>
              <w:bottom w:type="dxa" w:w="60"/>
              <w:right w:type="dxa" w:w="110"/>
            </w:tcMar>
          </w:tcPr>
          <w:p>
            <w:pPr>
              <w:jc w:val="right"/>
            </w:pPr>
            <w:r>
              <w:rPr>
                <w:b w:val="false"/>
                <w:bCs w:val="false"/>
                <w:color w:val="222222"/>
                <w:sz w:val="17"/>
                <w:szCs w:val="17"/>
              </w:rPr>
              <w:t xml:space="preserve">26.5%</w:t>
            </w:r>
          </w:p>
        </w:tc>
        <w:tc>
          <w:tcPr>
            <w:tcW w:type="dxa" w:w="2100"/>
            <w:tcMar>
              <w:top w:type="dxa" w:w="60"/>
              <w:left w:type="dxa" w:w="110"/>
              <w:bottom w:type="dxa" w:w="60"/>
              <w:right w:type="dxa" w:w="110"/>
            </w:tcMar>
          </w:tcPr>
          <w:p>
            <w:pPr>
              <w:jc w:val="right"/>
            </w:pPr>
            <w:r>
              <w:rPr>
                <w:b w:val="false"/>
                <w:bCs w:val="false"/>
                <w:color w:val="222222"/>
                <w:sz w:val="17"/>
                <w:szCs w:val="17"/>
              </w:rPr>
              <w:t xml:space="preserve">3.8</w:t>
            </w:r>
          </w:p>
        </w:tc>
      </w:tr>
      <w:tr>
        <w:tc>
          <w:tcPr>
            <w:tcW w:type="dxa" w:w="2600"/>
            <w:shd w:fill="eef1f6" w:color="auto" w:val="clear"/>
            <w:tcMar>
              <w:top w:type="dxa" w:w="60"/>
              <w:left w:type="dxa" w:w="110"/>
              <w:bottom w:type="dxa" w:w="60"/>
              <w:right w:type="dxa" w:w="110"/>
            </w:tcMar>
          </w:tcPr>
          <w:p>
            <w:pPr>
              <w:jc w:val="left"/>
            </w:pPr>
            <w:r>
              <w:rPr>
                <w:b w:val="false"/>
                <w:bCs w:val="false"/>
                <w:color w:val="222222"/>
                <w:sz w:val="17"/>
                <w:szCs w:val="17"/>
              </w:rPr>
              <w:t xml:space="preserve">SALTA</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~202</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42.1%</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2.3</w:t>
            </w:r>
          </w:p>
        </w:tc>
      </w:tr>
      <w:tr>
        <w:tc>
          <w:tcPr>
            <w:tcW w:type="dxa" w:w="2600"/>
            <w:tcMar>
              <w:top w:type="dxa" w:w="60"/>
              <w:left w:type="dxa" w:w="110"/>
              <w:bottom w:type="dxa" w:w="60"/>
              <w:right w:type="dxa" w:w="110"/>
            </w:tcMar>
          </w:tcPr>
          <w:p>
            <w:pPr>
              <w:jc w:val="left"/>
            </w:pPr>
            <w:r>
              <w:rPr>
                <w:b w:val="false"/>
                <w:bCs w:val="false"/>
                <w:color w:val="222222"/>
                <w:sz w:val="17"/>
                <w:szCs w:val="17"/>
              </w:rPr>
              <w:t xml:space="preserve">ENTRE RIOS</w:t>
            </w:r>
          </w:p>
        </w:tc>
        <w:tc>
          <w:tcPr>
            <w:tcW w:type="dxa" w:w="2100"/>
            <w:tcMar>
              <w:top w:type="dxa" w:w="60"/>
              <w:left w:type="dxa" w:w="110"/>
              <w:bottom w:type="dxa" w:w="60"/>
              <w:right w:type="dxa" w:w="110"/>
            </w:tcMar>
          </w:tcPr>
          <w:p>
            <w:pPr>
              <w:jc w:val="right"/>
            </w:pPr>
            <w:r>
              <w:rPr>
                <w:b w:val="false"/>
                <w:bCs w:val="false"/>
                <w:color w:val="222222"/>
                <w:sz w:val="17"/>
                <w:szCs w:val="17"/>
              </w:rPr>
              <w:t xml:space="preserve">~191</w:t>
            </w:r>
          </w:p>
        </w:tc>
        <w:tc>
          <w:tcPr>
            <w:tcW w:type="dxa" w:w="2100"/>
            <w:tcMar>
              <w:top w:type="dxa" w:w="60"/>
              <w:left w:type="dxa" w:w="110"/>
              <w:bottom w:type="dxa" w:w="60"/>
              <w:right w:type="dxa" w:w="110"/>
            </w:tcMar>
          </w:tcPr>
          <w:p>
            <w:pPr>
              <w:jc w:val="right"/>
            </w:pPr>
            <w:r>
              <w:rPr>
                <w:b w:val="false"/>
                <w:bCs w:val="false"/>
                <w:color w:val="222222"/>
                <w:sz w:val="17"/>
                <w:szCs w:val="17"/>
              </w:rPr>
              <w:t xml:space="preserve">13.7%</w:t>
            </w:r>
          </w:p>
        </w:tc>
        <w:tc>
          <w:tcPr>
            <w:tcW w:type="dxa" w:w="2100"/>
            <w:tcMar>
              <w:top w:type="dxa" w:w="60"/>
              <w:left w:type="dxa" w:w="110"/>
              <w:bottom w:type="dxa" w:w="60"/>
              <w:right w:type="dxa" w:w="110"/>
            </w:tcMar>
          </w:tcPr>
          <w:p>
            <w:pPr>
              <w:jc w:val="right"/>
            </w:pPr>
            <w:r>
              <w:rPr>
                <w:b w:val="false"/>
                <w:bCs w:val="false"/>
                <w:color w:val="222222"/>
                <w:sz w:val="17"/>
                <w:szCs w:val="17"/>
              </w:rPr>
              <w:t xml:space="preserve">5.6</w:t>
            </w:r>
          </w:p>
        </w:tc>
      </w:tr>
      <w:tr>
        <w:tc>
          <w:tcPr>
            <w:tcW w:type="dxa" w:w="2600"/>
            <w:shd w:fill="eef1f6" w:color="auto" w:val="clear"/>
            <w:tcMar>
              <w:top w:type="dxa" w:w="60"/>
              <w:left w:type="dxa" w:w="110"/>
              <w:bottom w:type="dxa" w:w="60"/>
              <w:right w:type="dxa" w:w="110"/>
            </w:tcMar>
          </w:tcPr>
          <w:p>
            <w:pPr>
              <w:jc w:val="left"/>
            </w:pPr>
            <w:r>
              <w:rPr>
                <w:b w:val="false"/>
                <w:bCs w:val="false"/>
                <w:color w:val="222222"/>
                <w:sz w:val="17"/>
                <w:szCs w:val="17"/>
              </w:rPr>
              <w:t xml:space="preserve">SAN LUIS</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~171</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33.8%</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2.7</w:t>
            </w:r>
          </w:p>
        </w:tc>
      </w:tr>
      <w:tr>
        <w:tc>
          <w:tcPr>
            <w:tcW w:type="dxa" w:w="2600"/>
            <w:tcMar>
              <w:top w:type="dxa" w:w="60"/>
              <w:left w:type="dxa" w:w="110"/>
              <w:bottom w:type="dxa" w:w="60"/>
              <w:right w:type="dxa" w:w="110"/>
            </w:tcMar>
          </w:tcPr>
          <w:p>
            <w:pPr>
              <w:jc w:val="left"/>
            </w:pPr>
            <w:r>
              <w:rPr>
                <w:b w:val="false"/>
                <w:bCs w:val="false"/>
                <w:color w:val="222222"/>
                <w:sz w:val="17"/>
                <w:szCs w:val="17"/>
              </w:rPr>
              <w:t xml:space="preserve">TUCUMAN</w:t>
            </w:r>
          </w:p>
        </w:tc>
        <w:tc>
          <w:tcPr>
            <w:tcW w:type="dxa" w:w="2100"/>
            <w:tcMar>
              <w:top w:type="dxa" w:w="60"/>
              <w:left w:type="dxa" w:w="110"/>
              <w:bottom w:type="dxa" w:w="60"/>
              <w:right w:type="dxa" w:w="110"/>
            </w:tcMar>
          </w:tcPr>
          <w:p>
            <w:pPr>
              <w:jc w:val="right"/>
            </w:pPr>
            <w:r>
              <w:rPr>
                <w:b w:val="false"/>
                <w:bCs w:val="false"/>
                <w:color w:val="222222"/>
                <w:sz w:val="17"/>
                <w:szCs w:val="17"/>
              </w:rPr>
              <w:t xml:space="preserve">~57</w:t>
            </w:r>
          </w:p>
        </w:tc>
        <w:tc>
          <w:tcPr>
            <w:tcW w:type="dxa" w:w="2100"/>
            <w:tcMar>
              <w:top w:type="dxa" w:w="60"/>
              <w:left w:type="dxa" w:w="110"/>
              <w:bottom w:type="dxa" w:w="60"/>
              <w:right w:type="dxa" w:w="110"/>
            </w:tcMar>
          </w:tcPr>
          <w:p>
            <w:pPr>
              <w:jc w:val="right"/>
            </w:pPr>
            <w:r>
              <w:rPr>
                <w:b w:val="false"/>
                <w:bCs w:val="false"/>
                <w:color w:val="222222"/>
                <w:sz w:val="17"/>
                <w:szCs w:val="17"/>
              </w:rPr>
              <w:t xml:space="preserve">30.2%</w:t>
            </w:r>
          </w:p>
        </w:tc>
        <w:tc>
          <w:tcPr>
            <w:tcW w:type="dxa" w:w="2100"/>
            <w:tcMar>
              <w:top w:type="dxa" w:w="60"/>
              <w:left w:type="dxa" w:w="110"/>
              <w:bottom w:type="dxa" w:w="60"/>
              <w:right w:type="dxa" w:w="110"/>
            </w:tcMar>
          </w:tcPr>
          <w:p>
            <w:pPr>
              <w:jc w:val="right"/>
            </w:pPr>
            <w:r>
              <w:rPr>
                <w:b w:val="false"/>
                <w:bCs w:val="false"/>
                <w:color w:val="222222"/>
                <w:sz w:val="17"/>
                <w:szCs w:val="17"/>
              </w:rPr>
              <w:t xml:space="preserve">0.7</w:t>
            </w:r>
          </w:p>
        </w:tc>
      </w:tr>
      <w:tr>
        <w:tc>
          <w:tcPr>
            <w:tcW w:type="dxa" w:w="2600"/>
            <w:shd w:fill="eef1f6" w:color="auto" w:val="clear"/>
            <w:tcMar>
              <w:top w:type="dxa" w:w="60"/>
              <w:left w:type="dxa" w:w="110"/>
              <w:bottom w:type="dxa" w:w="60"/>
              <w:right w:type="dxa" w:w="110"/>
            </w:tcMar>
          </w:tcPr>
          <w:p>
            <w:pPr>
              <w:jc w:val="left"/>
            </w:pPr>
            <w:r>
              <w:rPr>
                <w:b w:val="false"/>
                <w:bCs w:val="false"/>
                <w:color w:val="222222"/>
                <w:sz w:val="17"/>
                <w:szCs w:val="17"/>
              </w:rPr>
              <w:t xml:space="preserve">CHACO</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~47</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29.9%</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0.6</w:t>
            </w:r>
          </w:p>
        </w:tc>
      </w:tr>
      <w:tr>
        <w:tc>
          <w:tcPr>
            <w:tcW w:type="dxa" w:w="2600"/>
            <w:tcMar>
              <w:top w:type="dxa" w:w="60"/>
              <w:left w:type="dxa" w:w="110"/>
              <w:bottom w:type="dxa" w:w="60"/>
              <w:right w:type="dxa" w:w="110"/>
            </w:tcMar>
          </w:tcPr>
          <w:p>
            <w:pPr>
              <w:jc w:val="left"/>
            </w:pPr>
            <w:r>
              <w:rPr>
                <w:b w:val="false"/>
                <w:bCs w:val="false"/>
                <w:color w:val="222222"/>
                <w:sz w:val="17"/>
                <w:szCs w:val="17"/>
              </w:rPr>
              <w:t xml:space="preserve">MISIONES</w:t>
            </w:r>
          </w:p>
        </w:tc>
        <w:tc>
          <w:tcPr>
            <w:tcW w:type="dxa" w:w="2100"/>
            <w:tcMar>
              <w:top w:type="dxa" w:w="60"/>
              <w:left w:type="dxa" w:w="110"/>
              <w:bottom w:type="dxa" w:w="60"/>
              <w:right w:type="dxa" w:w="110"/>
            </w:tcMar>
          </w:tcPr>
          <w:p>
            <w:pPr>
              <w:jc w:val="right"/>
            </w:pPr>
            <w:r>
              <w:rPr>
                <w:b w:val="false"/>
                <w:bCs w:val="false"/>
                <w:color w:val="222222"/>
                <w:sz w:val="17"/>
                <w:szCs w:val="17"/>
              </w:rPr>
              <w:t xml:space="preserve">~13</w:t>
            </w:r>
          </w:p>
        </w:tc>
        <w:tc>
          <w:tcPr>
            <w:tcW w:type="dxa" w:w="2100"/>
            <w:tcMar>
              <w:top w:type="dxa" w:w="60"/>
              <w:left w:type="dxa" w:w="110"/>
              <w:bottom w:type="dxa" w:w="60"/>
              <w:right w:type="dxa" w:w="110"/>
            </w:tcMar>
          </w:tcPr>
          <w:p>
            <w:pPr>
              <w:jc w:val="right"/>
            </w:pPr>
            <w:r>
              <w:rPr>
                <w:b w:val="false"/>
                <w:bCs w:val="false"/>
                <w:color w:val="222222"/>
                <w:sz w:val="17"/>
                <w:szCs w:val="17"/>
              </w:rPr>
              <w:t xml:space="preserve">47.2%</w:t>
            </w:r>
          </w:p>
        </w:tc>
        <w:tc>
          <w:tcPr>
            <w:tcW w:type="dxa" w:w="2100"/>
            <w:tcMar>
              <w:top w:type="dxa" w:w="60"/>
              <w:left w:type="dxa" w:w="110"/>
              <w:bottom w:type="dxa" w:w="60"/>
              <w:right w:type="dxa" w:w="110"/>
            </w:tcMar>
          </w:tcPr>
          <w:p>
            <w:pPr>
              <w:jc w:val="right"/>
            </w:pPr>
            <w:r>
              <w:rPr>
                <w:b w:val="false"/>
                <w:bCs w:val="false"/>
                <w:color w:val="222222"/>
                <w:sz w:val="17"/>
                <w:szCs w:val="17"/>
              </w:rPr>
              <w:t xml:space="preserve">0.1</w:t>
            </w:r>
          </w:p>
        </w:tc>
      </w:tr>
      <w:tr>
        <w:tc>
          <w:tcPr>
            <w:tcW w:type="dxa" w:w="2600"/>
            <w:shd w:fill="eef1f6" w:color="auto" w:val="clear"/>
            <w:tcMar>
              <w:top w:type="dxa" w:w="60"/>
              <w:left w:type="dxa" w:w="110"/>
              <w:bottom w:type="dxa" w:w="60"/>
              <w:right w:type="dxa" w:w="110"/>
            </w:tcMar>
          </w:tcPr>
          <w:p>
            <w:pPr>
              <w:jc w:val="left"/>
            </w:pPr>
            <w:r>
              <w:rPr>
                <w:b w:val="false"/>
                <w:bCs w:val="false"/>
                <w:color w:val="222222"/>
                <w:sz w:val="17"/>
                <w:szCs w:val="17"/>
              </w:rPr>
              <w:t xml:space="preserve">CATAMARCA</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~10</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27.6%</w:t>
            </w:r>
          </w:p>
        </w:tc>
        <w:tc>
          <w:tcPr>
            <w:tcW w:type="dxa" w:w="2100"/>
            <w:shd w:fill="eef1f6" w:color="auto" w:val="clear"/>
            <w:tcMar>
              <w:top w:type="dxa" w:w="60"/>
              <w:left w:type="dxa" w:w="110"/>
              <w:bottom w:type="dxa" w:w="60"/>
              <w:right w:type="dxa" w:w="110"/>
            </w:tcMar>
          </w:tcPr>
          <w:p>
            <w:pPr>
              <w:jc w:val="right"/>
            </w:pPr>
            <w:r>
              <w:rPr>
                <w:b w:val="false"/>
                <w:bCs w:val="false"/>
                <w:color w:val="222222"/>
                <w:sz w:val="17"/>
                <w:szCs w:val="17"/>
              </w:rPr>
              <w:t xml:space="preserve">0.1</w:t>
            </w:r>
          </w:p>
        </w:tc>
      </w:tr>
    </w:tbl>
    <w:p>
      <w:r>
        <w:br w:type="page"/>
      </w:r>
    </w:p>
    <w:p>
      <w:pPr>
        <w:pStyle w:val="Heading1"/>
        <w:spacing w:after="120" w:before="280"/>
      </w:pPr>
      <w:r>
        <w:rPr>
          <w:b/>
          <w:bCs/>
          <w:color w:val="12305e"/>
        </w:rPr>
        <w:t xml:space="preserve">Metodología</w:t>
      </w:r>
    </w:p>
    <w:p>
      <w:pPr>
        <w:spacing w:after="140" w:line="276"/>
        <w:jc w:val="both"/>
      </w:pPr>
      <w:r>
        <w:rPr>
          <w:b/>
          <w:bCs/>
          <w:sz w:val="21"/>
          <w:szCs w:val="21"/>
        </w:rPr>
        <w:t xml:space="preserve">Universo. </w:t>
      </w:r>
      <w:r>
        <w:rPr>
          <w:sz w:val="21"/>
          <w:szCs w:val="21"/>
        </w:rPr>
        <w:t xml:space="preserve">311 departamentos con producción de maíz y/o soja en la campaña 2024/25 (fuente de producción: estimaciones agrícolas oficiales).</w:t>
      </w:r>
    </w:p>
    <w:p>
      <w:pPr>
        <w:spacing w:after="140" w:line="276"/>
        <w:jc w:val="both"/>
      </w:pPr>
      <w:r>
        <w:rPr>
          <w:b/>
          <w:bCs/>
          <w:sz w:val="21"/>
          <w:szCs w:val="21"/>
        </w:rPr>
        <w:t xml:space="preserve">Distancia. </w:t>
      </w:r>
      <w:r>
        <w:rPr>
          <w:sz w:val="21"/>
          <w:szCs w:val="21"/>
        </w:rPr>
        <w:t xml:space="preserve">Ruteo carretero real (OSRM) desde el centroide de cada departamento hasta cada uno de los tres puertos —Gran Rosario (Puerto General San Martín), Bahía Blanca (Ingeniero White) y Quequén—, ubicados sobre la terminal de embarque según coordenadas oficiales. Se asigna a cada departamento el puerto de menor distancia.</w:t>
      </w:r>
    </w:p>
    <w:p>
      <w:pPr>
        <w:spacing w:after="140" w:line="276"/>
        <w:jc w:val="both"/>
      </w:pPr>
      <w:r>
        <w:rPr>
          <w:b/>
          <w:bCs/>
          <w:sz w:val="21"/>
          <w:szCs w:val="21"/>
        </w:rPr>
        <w:t xml:space="preserve">Costo del flete. </w:t>
      </w:r>
      <w:r>
        <w:rPr>
          <w:sz w:val="21"/>
          <w:szCs w:val="21"/>
        </w:rPr>
        <w:t xml:space="preserve">Tarifa FeTrA Nacional de marzo 2026 (Disposición 273/11), interpolada linealmente por kilómetro; la distancia máxima observada (1.397 km) queda dentro de la tabla, sin extrapolación. Es una tarifa de referencia sectorial, no un precio de mercado observado: da un patrón homogéneo y comparable para los 311 departamentos, pero tiende a ubicarse por encima del flete que se pacta en la práctica, que suele bajar por cargas de retorno y negociación.</w:t>
      </w:r>
    </w:p>
    <w:p>
      <w:pPr>
        <w:spacing w:after="140" w:line="276"/>
        <w:jc w:val="both"/>
      </w:pPr>
      <w:r>
        <w:rPr>
          <w:b/>
          <w:bCs/>
          <w:sz w:val="21"/>
          <w:szCs w:val="21"/>
        </w:rPr>
        <w:t xml:space="preserve">Precios y conversión. </w:t>
      </w:r>
      <w:r>
        <w:rPr>
          <w:sz w:val="21"/>
          <w:szCs w:val="21"/>
        </w:rPr>
        <w:t xml:space="preserve">Pizarra de cada puerto convertida a dólares al tipo de cambio BCRA A3500 del 31/03/2026 ($1.382,76). El indicador central es el flete en US$/tn sobre la pizarra del puerto asignado. Como el flete y la mayoría de las pizarras están en pesos y se convierten al mismo tipo de cambio, el porcentaje que el flete representa sobre el valor bruto no depende del tipo de cambio en 516 de los 583 pares departamento-cultivo: el factor se cancela en el cociente. Solo incide donde la pizarra se tomó en dólares —el maíz asignado a Bahía Blanca y Quequén, 67 casos—. Por eso el mapa de porcentajes es robusto, aun cuando los totales expresados en dólares sí se muevan con el tipo de cambio.</w:t>
      </w:r>
    </w:p>
    <w:p>
      <w:pPr>
        <w:pStyle w:val="Heading1"/>
        <w:spacing w:after="120" w:before="280"/>
      </w:pPr>
      <w:r>
        <w:rPr>
          <w:b/>
          <w:bCs/>
          <w:color w:val="12305e"/>
        </w:rPr>
        <w:t xml:space="preserve">Advertencias</w:t>
      </w:r>
    </w:p>
    <w:p>
      <w:pPr>
        <w:spacing w:after="140" w:line="276"/>
        <w:jc w:val="both"/>
      </w:pPr>
      <w:r>
        <w:rPr>
          <w:b/>
          <w:bCs/>
          <w:sz w:val="21"/>
          <w:szCs w:val="21"/>
        </w:rPr>
        <w:t xml:space="preserve">Cifras en dólares. </w:t>
      </w:r>
      <w:r>
        <w:rPr>
          <w:sz w:val="21"/>
          <w:szCs w:val="21"/>
        </w:rPr>
        <w:t xml:space="preserve">El flete medido en pesos es un dato firme; su traducción a dólares, no tanto. El total en pesos —del orden de $6,3 billones— equivale a entre US$ 4.150 M y US$ 5.070 M según se lo convierta a un tipo de cambio 10 % por debajo o por encima del de referencia. Junto con el carácter referencial de la tarifa, esto hace que los montos en dólares deban leerse como orden de magnitud, y probablemente como un techo, más que como una medición cerrada.</w:t>
      </w:r>
    </w:p>
    <w:p>
      <w:pPr>
        <w:spacing w:after="140" w:line="276"/>
        <w:jc w:val="both"/>
      </w:pPr>
      <w:r>
        <w:rPr>
          <w:b/>
          <w:bCs/>
          <w:sz w:val="21"/>
          <w:szCs w:val="21"/>
        </w:rPr>
        <w:t xml:space="preserve">Pizarra de soja. </w:t>
      </w:r>
      <w:r>
        <w:rPr>
          <w:sz w:val="21"/>
          <w:szCs w:val="21"/>
        </w:rPr>
        <w:t xml:space="preserve">Se aplica la referencia de Rosario a los tres puertos por falta de cotización líquida en Bahía Blanca y Quequén. En consecuencia, la variación del mapa de soja responde exclusivamente a la distancia, mientras que en maíz combina distancia y diferencial de precio entre puertos.</w:t>
      </w:r>
    </w:p>
    <w:p>
      <w:pPr>
        <w:spacing w:after="140" w:line="276"/>
        <w:jc w:val="both"/>
      </w:pPr>
      <w:r>
        <w:rPr>
          <w:b/>
          <w:bCs/>
          <w:sz w:val="21"/>
          <w:szCs w:val="21"/>
        </w:rPr>
        <w:t xml:space="preserve">Origen del flete. </w:t>
      </w:r>
      <w:r>
        <w:rPr>
          <w:sz w:val="21"/>
          <w:szCs w:val="21"/>
        </w:rPr>
        <w:t xml:space="preserve">Se usa el centroide geométrico del departamento. En los partidos extensos del NOA, el centroide puede caer lejos del punto real de acopio, por lo que los valores del norte deben leerse como orden de magnitud y no como precisión de kilómetro.</w:t>
      </w:r>
    </w:p>
    <w:p>
      <w:pPr>
        <w:spacing w:after="140" w:line="276"/>
        <w:jc w:val="both"/>
      </w:pPr>
      <w:r>
        <w:rPr>
          <w:b/>
          <w:bCs/>
          <w:sz w:val="21"/>
          <w:szCs w:val="21"/>
        </w:rPr>
        <w:t xml:space="preserve">Alcance temporal. </w:t>
      </w:r>
      <w:r>
        <w:rPr>
          <w:sz w:val="21"/>
          <w:szCs w:val="21"/>
        </w:rPr>
        <w:t xml:space="preserve">Fotografía de una campaña y una tarifa puntual. La tarifa de enero de 2026 era un 13,2 % menor, lo que da una idea de la sensibilidad del resultado a la evolución tarifaria.</w:t>
      </w:r>
    </w:p>
    <w:p>
      <w:pPr>
        <w:pBdr>
          <w:top w:val="single" w:color="b8c4d9" w:sz="4" w:space="8"/>
        </w:pBdr>
        <w:spacing w:before="320"/>
      </w:pPr>
      <w:r>
        <w:rPr>
          <w:i/>
          <w:iCs/>
          <w:color w:val="595959"/>
          <w:sz w:val="16"/>
          <w:szCs w:val="16"/>
        </w:rPr>
        <w:t xml:space="preserve">Elaboración propia · Mariano Romero · Fuentes: estimaciones agrícolas oficiales, FeTrA Nacional, BCRA, IGN, OSRM. Julio 2026.</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c5a4e1e708fe4754711bb22e7c240d002ab671.png"/><Relationship Id="rId8" Type="http://schemas.openxmlformats.org/officeDocument/2006/relationships/image" Target="media/8377b64c65cd8ad737f27a11c78f005496bd41f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costo de la distancia</dc:title>
  <dc:creator>Mariano Romero</dc:creator>
  <cp:lastModifiedBy>Un-named</cp:lastModifiedBy>
  <cp:revision>1</cp:revision>
  <dcterms:created xsi:type="dcterms:W3CDTF">2026-07-04T17:28:39.459Z</dcterms:created>
  <dcterms:modified xsi:type="dcterms:W3CDTF">2026-07-04T17:28:39.459Z</dcterms:modified>
</cp:coreProperties>
</file>

<file path=docProps/custom.xml><?xml version="1.0" encoding="utf-8"?>
<Properties xmlns="http://schemas.openxmlformats.org/officeDocument/2006/custom-properties" xmlns:vt="http://schemas.openxmlformats.org/officeDocument/2006/docPropsVTypes"/>
</file>