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  <Override PartName="/word/media/rId41.png" ContentType="image/png"/>
  <Override PartName="/word/media/rId37.png" ContentType="image/png"/>
  <Override PartName="/word/media/rId29.png" ContentType="image/png"/>
  <Override PartName="/word/media/rId25.png" ContentType="image/png"/>
  <Override PartName="/word/media/rId93.png" ContentType="image/png"/>
  <Override PartName="/word/media/rId12.jpg" ContentType="image/jpeg"/>
  <Override PartName="/word/media/rId9.jpg" ContentType="image/jpeg"/>
  <Override PartName="/word/media/rId18.jpg" ContentType="image/jpeg"/>
  <Override PartName="/word/media/rId15.jpg" ContentType="image/jpeg"/>
  <Override PartName="/word/media/rId98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Romeu Alexandre Ribeiro Fernandes</w:t>
      </w:r>
    </w:p>
    <w:p>
      <w:pPr>
        <w:pStyle w:val="FirstParagraph"/>
      </w:pPr>
      <w:r>
        <w:drawing>
          <wp:inline>
            <wp:extent cx="935999" cy="935999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images/logos/UM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935999" cy="935999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images/logos/EE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University of Minho</w:t>
      </w:r>
      <w:r>
        <w:br/>
      </w:r>
      <w:r>
        <w:t xml:space="preserve"> </w:t>
      </w:r>
      <w:r>
        <w:t xml:space="preserve">School of Engineering</w:t>
      </w:r>
      <w:r>
        <w:br/>
      </w:r>
    </w:p>
    <w:p>
      <w:pPr>
        <w:pStyle w:val="BodyText"/>
      </w:pPr>
      <w:r>
        <w:br/>
      </w:r>
      <w:r>
        <w:br/>
      </w:r>
      <w:r>
        <w:rPr>
          <w:b/>
          <w:bCs/>
        </w:rPr>
        <w:t xml:space="preserve">Computational Discovery of DNA</w:t>
      </w:r>
      <w:r>
        <w:br/>
      </w:r>
      <w:r>
        <w:rPr>
          <w:b/>
          <w:bCs/>
        </w:rPr>
        <w:t xml:space="preserve">Aptamer-Graphene Sensors</w:t>
      </w:r>
      <w:r>
        <w:br/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  <w:r>
        <w:t xml:space="preserve"> </w:t>
      </w:r>
    </w:p>
    <w:p>
      <w:pPr>
        <w:pStyle w:val="BodyText"/>
      </w:pPr>
      <w:r>
        <w:drawing>
          <wp:inline>
            <wp:extent cx="935999" cy="935999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images/logosB/UM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935999" cy="935999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images/logosB/E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University of Minho</w:t>
      </w:r>
      <w:r>
        <w:br/>
      </w:r>
      <w:r>
        <w:t xml:space="preserve"> </w:t>
      </w:r>
      <w:r>
        <w:t xml:space="preserve">School of Engineering</w:t>
      </w:r>
      <w:r>
        <w:br/>
      </w:r>
    </w:p>
    <w:p>
      <w:pPr>
        <w:pStyle w:val="BodyText"/>
      </w:pPr>
      <w:r>
        <w:br/>
      </w:r>
      <w:r>
        <w:br/>
      </w:r>
      <w:r>
        <w:rPr>
          <w:b/>
          <w:bCs/>
        </w:rPr>
        <w:t xml:space="preserve">Computational Discovery of DNA</w:t>
      </w:r>
      <w:r>
        <w:br/>
      </w:r>
      <w:r>
        <w:rPr>
          <w:b/>
          <w:bCs/>
        </w:rPr>
        <w:t xml:space="preserve">Aptamer-Graphene Sensors</w:t>
      </w:r>
      <w:r>
        <w:br/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Master’s Dissertation in Bioinformatics</w:t>
      </w:r>
      <w:r>
        <w:br/>
      </w:r>
      <w:r>
        <w:br/>
      </w:r>
      <w:r>
        <w:t xml:space="preserve">Dissertation supervised by</w:t>
      </w:r>
      <w:r>
        <w:br/>
      </w:r>
      <w:r>
        <w:rPr>
          <w:b/>
          <w:bCs/>
        </w:rPr>
        <w:t xml:space="preserve">Dr. João Carneiro</w:t>
      </w:r>
      <w:r>
        <w:br/>
      </w:r>
      <w:r>
        <w:rPr>
          <w:b/>
          <w:bCs/>
        </w:rPr>
        <w:t xml:space="preserve">Dr. Pedro Soares</w:t>
      </w:r>
    </w:p>
    <w:p>
      <w:pPr>
        <w:pStyle w:val="BodyText"/>
      </w:pP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  <w:r>
        <w:t xml:space="preserve"> </w:t>
      </w:r>
    </w:p>
    <w:bookmarkStart w:id="46" w:name="X0a22487a1d7e67a24cc09935c335da3c06e36da"/>
    <w:p>
      <w:pPr>
        <w:pStyle w:val="Heading1"/>
      </w:pPr>
      <w:r>
        <w:t xml:space="preserve">Copyright and Terms of Use for Third Party Work</w:t>
      </w:r>
    </w:p>
    <w:p>
      <w:pPr>
        <w:pStyle w:val="FirstParagraph"/>
      </w:pPr>
      <w:r>
        <w:t xml:space="preserve">This dissertation reports on academic work that can be used by third parties as long as the internationally accepted standards and good practices are respected concerning copyright and related rights.</w:t>
      </w:r>
    </w:p>
    <w:p>
      <w:pPr>
        <w:pStyle w:val="BodyText"/>
      </w:pPr>
      <w:r>
        <w:t xml:space="preserve">This work can thereafter be used under the terms established in the license below.</w:t>
      </w:r>
    </w:p>
    <w:p>
      <w:pPr>
        <w:pStyle w:val="BodyText"/>
      </w:pPr>
      <w:r>
        <w:t xml:space="preserve">Readers needing authorization conditions not provided for in the indicated licensing should contact the author through the RepositóriUM of the University of Minho.</w:t>
      </w:r>
    </w:p>
    <w:bookmarkStart w:id="45" w:name="license-granted-to-users-of-this-work"/>
    <w:p>
      <w:pPr>
        <w:pStyle w:val="Heading2"/>
      </w:pPr>
      <w:r>
        <w:t xml:space="preserve">License granted to users of this work:</w:t>
      </w:r>
    </w:p>
    <w:p>
      <w:pPr>
        <w:pStyle w:val="FirstParagraph"/>
      </w:pPr>
      <w:r>
        <w:rPr>
          <w:i/>
          <w:iCs/>
        </w:rPr>
        <w:t xml:space="preserve">[Caso o autor pretenda usar uma das licenças Creative Commons, deve escolher e deixar apenas um dos seguintes ícones e respetivo lettering e URL, eliminando o texto em itálico que se lhe segue. Contudo, é possível optar por outro tipo de licença, devendo, nesse caso, ser incluída a informação necessária adaptando devidamente esta minuta]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images/CCB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</w:t>
      </w:r>
      <w:r>
        <w:br/>
      </w:r>
      <w:hyperlink r:id="rId24">
        <w:r>
          <w:rPr>
            <w:rStyle w:val="Hyperlink"/>
          </w:rPr>
          <w:t xml:space="preserve">https://creativecommons.org/licenses/by/4.0/</w:t>
        </w:r>
      </w:hyperlink>
      <w:r>
        <w:t xml:space="preserve"> </w:t>
      </w:r>
      <w:r>
        <w:rPr>
          <w:i/>
          <w:iCs/>
        </w:rPr>
        <w:t xml:space="preserve">[Esta licença permite que outros distribuam, remixem, adaptem e criem a partir do seu trabalho, mesmo para fins comerciais, desde que lhe atribuam o devido crédito pela criação original. É a licença mais flexível de todas as licenças disponíveis. É recomendada para maximizar a disseminação e uso dos materiais licenciados.]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26" name="Picture"/>
            <a:graphic>
              <a:graphicData uri="http://schemas.openxmlformats.org/drawingml/2006/picture">
                <pic:pic>
                  <pic:nvPicPr>
                    <pic:cNvPr descr="images/CCBYS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BY-SA</w:t>
      </w:r>
      <w:r>
        <w:br/>
      </w:r>
      <w:hyperlink r:id="rId28">
        <w:r>
          <w:rPr>
            <w:rStyle w:val="Hyperlink"/>
          </w:rPr>
          <w:t xml:space="preserve">https://creativecommons.org/licenses/by-sa/4.0/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trabalho, mesmo para fins comerciais, desde que lhe atribuam o devido crédito e que licenciem as novas criações ao abrigo de termos idênticos. Esta licença costuma ser comparada com as licenças de software livre e de código aberto «copyleft». Todos os trabalhos novos baseados no seu terão a mesma licença, portanto quaisquer trabalhos derivados também permitirão o uso comercial. Esta é a licença usada pela Wikipédia e é recomendada para materiais que seriam beneficiados com a incorporação de conteúdos da Wikipédia e de outros projetos com licenciamento semelhante.]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images/CCBYN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BY-ND</w:t>
      </w:r>
      <w:r>
        <w:br/>
      </w:r>
      <w:hyperlink r:id="rId32">
        <w:r>
          <w:rPr>
            <w:rStyle w:val="Hyperlink"/>
          </w:rPr>
          <w:t xml:space="preserve">https://creativecommons.org/licenses/by-nd/4.0/</w:t>
        </w:r>
      </w:hyperlink>
      <w:r>
        <w:t xml:space="preserve"> </w:t>
      </w:r>
      <w:r>
        <w:rPr>
          <w:i/>
          <w:iCs/>
        </w:rPr>
        <w:t xml:space="preserve">[Esta licença permite que outras pessoas usem o seu trabalho para qualquer fim, incluindo para fins comerciais. Contudo, o trabalho, na forma adaptada, não poderá ser partilhado com outras pessoas e têm que lhe ser atribuídos os devidos créditos.]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images/CCBYN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</w:t>
      </w:r>
      <w:r>
        <w:br/>
      </w:r>
      <w:hyperlink r:id="rId36">
        <w:r>
          <w:rPr>
            <w:rStyle w:val="Hyperlink"/>
          </w:rPr>
          <w:t xml:space="preserve">https://creativecommons.org/licenses/by-nc/4.0/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 para fins não comerciais, e embora os novos trabalhos tenham de lhe atribuir o devido crédito e não possam ser usados para fins comerciais, eles não têm de licenciar esses trabalhos derivados ao abrigo dos mesmos termos.]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images/CCBYNCS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BY-NC-SA</w:t>
      </w:r>
      <w:r>
        <w:br/>
      </w:r>
      <w:hyperlink r:id="rId40">
        <w:r>
          <w:rPr>
            <w:rStyle w:val="Hyperlink"/>
          </w:rPr>
          <w:t xml:space="preserve">https://creativecommons.org/licenses/by-nc-sa/4.0/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 para fins não comerciais, desde que lhe atribuam a si o devido crédito e que licenciem as novas criações ao abrigo de termos idênticos.]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images/CCBYNCN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BY-NC-ND</w:t>
      </w:r>
      <w:r>
        <w:br/>
      </w:r>
      <w:hyperlink r:id="rId44">
        <w:r>
          <w:rPr>
            <w:rStyle w:val="Hyperlink"/>
          </w:rPr>
          <w:t xml:space="preserve">https://creativecommons.org/licenses/by-nc-nd/4.0/</w:t>
        </w:r>
      </w:hyperlink>
      <w:r>
        <w:t xml:space="preserve"> </w:t>
      </w:r>
      <w:r>
        <w:rPr>
          <w:i/>
          <w:iCs/>
        </w:rPr>
        <w:t xml:space="preserve">[Esta é a mais restritiva das nossas seis licenças principais, só permitindo que outros façam download dos seus trabalhos e os compartilhem desde que lhe sejam atribuídos a si os devidos créditos, mas sem que possam alterá- los de nenhuma forma ou utilizá-los para fins comerciais.]</w:t>
      </w:r>
    </w:p>
    <w:bookmarkEnd w:id="45"/>
    <w:bookmarkEnd w:id="46"/>
    <w:bookmarkStart w:id="47" w:name="acknowledgements"/>
    <w:p>
      <w:pPr>
        <w:pStyle w:val="Heading1"/>
      </w:pPr>
      <w:r>
        <w:t xml:space="preserve">Acknowledgements</w:t>
      </w:r>
    </w:p>
    <w:bookmarkEnd w:id="47"/>
    <w:bookmarkStart w:id="48" w:name="statement-of-integrity"/>
    <w:p>
      <w:pPr>
        <w:pStyle w:val="Heading1"/>
      </w:pPr>
      <w:r>
        <w:t xml:space="preserve">Statement of Integrity</w:t>
      </w:r>
    </w:p>
    <w:p>
      <w:pPr>
        <w:pStyle w:val="FirstParagraph"/>
      </w:pPr>
      <w:r>
        <w:t xml:space="preserve">I hereby declare having conducted this academic work with integrity.</w:t>
      </w:r>
    </w:p>
    <w:p>
      <w:pPr>
        <w:pStyle w:val="BodyText"/>
      </w:pPr>
      <w:r>
        <w:t xml:space="preserve">I confirm that I have not used plagiarism or any form of undue use of information or falsification of results along the process leading to its elaboration.</w:t>
      </w:r>
    </w:p>
    <w:p>
      <w:pPr>
        <w:pStyle w:val="BodyText"/>
      </w:pPr>
      <w:r>
        <w:t xml:space="preserve">I further declare that I have fully acknowledged the Code of Ethical Conduct of the University of Minho.</w:t>
      </w:r>
    </w:p>
    <w:p>
      <w:pPr>
        <w:pStyle w:val="BodyText"/>
      </w:pPr>
      <w:r>
        <w:t xml:space="preserve">University of Minho, Braga,</w:t>
      </w: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</w:p>
    <w:bookmarkEnd w:id="48"/>
    <w:bookmarkStart w:id="5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Rapid and reliable detection of microbial DNA is central to clinical diagnostics, antimicrobial-resistance</w:t>
      </w:r>
      <w:r>
        <w:t xml:space="preserve"> </w:t>
      </w:r>
      <w:r>
        <w:t xml:space="preserve">surveillance and environmental monitoring, yet the dominant amplification-based methods require</w:t>
      </w:r>
      <w:r>
        <w:t xml:space="preserve"> </w:t>
      </w:r>
      <w:r>
        <w:t xml:space="preserve">laboratory infrastructure that limits their use at the point of care. Graphene field-effect transistor</w:t>
      </w:r>
      <w:r>
        <w:t xml:space="preserve"> </w:t>
      </w:r>
      <w:r>
        <w:t xml:space="preserve">(GFET) biosensors, functionalised with single-stranded DNA recognition elements, offer a compelling</w:t>
      </w:r>
      <w:r>
        <w:t xml:space="preserve"> </w:t>
      </w:r>
      <w:r>
        <w:t xml:space="preserve">label-free alternative, converting the hybridisation of a target sequence at the graphene surface into a</w:t>
      </w:r>
      <w:r>
        <w:t xml:space="preserve"> </w:t>
      </w:r>
      <w:r>
        <w:t xml:space="preserve">measurable electrical signal. The bottleneck of this approach is the recognition sequence: identifying, for</w:t>
      </w:r>
      <w:r>
        <w:t xml:space="preserve"> </w:t>
      </w:r>
      <w:r>
        <w:t xml:space="preserve">each pathogen, probe candidates that are conserved across strains, hybridise favourably, and are free of</w:t>
      </w:r>
      <w:r>
        <w:t xml:space="preserve"> </w:t>
      </w:r>
      <w:r>
        <w:t xml:space="preserve">stable self-structure, without resorting to costly and low-throughput experimental screening of hundreds</w:t>
      </w:r>
      <w:r>
        <w:t xml:space="preserve"> </w:t>
      </w:r>
      <w:r>
        <w:t xml:space="preserve">of candidates.</w:t>
      </w:r>
    </w:p>
    <w:p>
      <w:pPr>
        <w:pStyle w:val="BodyText"/>
      </w:pPr>
      <w:r>
        <w:t xml:space="preserve">This dissertation addresses that bottleneck with a reproducible computational pipeline for the</w:t>
      </w:r>
      <w:r>
        <w:t xml:space="preserve"> </w:t>
      </w:r>
      <w:r>
        <w:rPr>
          <w:i/>
          <w:iCs/>
        </w:rPr>
        <w:t xml:space="preserve">discovery</w:t>
      </w:r>
      <w:r>
        <w:t xml:space="preserve"> </w:t>
      </w:r>
      <w:r>
        <w:t xml:space="preserve">of DNA probe candidates for GFET biosensors, developed for a panel of clinically</w:t>
      </w:r>
      <w:r>
        <w:t xml:space="preserve"> </w:t>
      </w:r>
      <w:r>
        <w:t xml:space="preserve">relevant bacterial marker genes. From sequences retrieved from the NCBI databases, the pipeline</w:t>
      </w:r>
      <w:r>
        <w:t xml:space="preserve"> </w:t>
      </w:r>
      <w:r>
        <w:t xml:space="preserve">performs automatic length clustering, multiple sequence alignment with MAFFT, and per-column</w:t>
      </w:r>
      <w:r>
        <w:t xml:space="preserve"> </w:t>
      </w:r>
      <w:r>
        <w:t xml:space="preserve">conservation scoring based on the Percentage of Pairwise Identity. Sliding-window candidates are</w:t>
      </w:r>
      <w:r>
        <w:t xml:space="preserve"> </w:t>
      </w:r>
      <w:r>
        <w:t xml:space="preserve">screened with nearest-neighbour thermodynamics (melting temperature, GC content, hairpin and</w:t>
      </w:r>
      <w:r>
        <w:t xml:space="preserve"> </w:t>
      </w:r>
      <w:r>
        <w:t xml:space="preserve">homodimer free energies) and evaluated for secondary structure, condensed into a continuous</w:t>
      </w:r>
      <w:r>
        <w:t xml:space="preserve"> </w:t>
      </w:r>
      <w:r>
        <w:t xml:space="preserve">“No-fold”</w:t>
      </w:r>
      <w:r>
        <w:t xml:space="preserve"> </w:t>
      </w:r>
      <w:r>
        <w:t xml:space="preserve">score. All thresholds are resolved through an organism-aware, layered scheme (gene, species and</w:t>
      </w:r>
      <w:r>
        <w:t xml:space="preserve"> </w:t>
      </w:r>
      <w:r>
        <w:t xml:space="preserve">organism type), so that pathogens with very different genome composition are judged fairly. The</w:t>
      </w:r>
      <w:r>
        <w:t xml:space="preserve"> </w:t>
      </w:r>
      <w:r>
        <w:t xml:space="preserve">highest-quality candidates are prioritised and validated three-dimensionally, and a curated, feature-rich</w:t>
      </w:r>
      <w:r>
        <w:t xml:space="preserve"> </w:t>
      </w:r>
      <w:r>
        <w:t xml:space="preserve">dataset of the best candidates per gene is produced.</w:t>
      </w:r>
    </w:p>
    <w:p>
      <w:pPr>
        <w:pStyle w:val="BodyText"/>
      </w:pPr>
      <w:r>
        <w:t xml:space="preserve">Applied to the six-gene panel, the pipeline reduced 8455 candidate windows to 2943 that passed</w:t>
      </w:r>
      <w:r>
        <w:t xml:space="preserve"> </w:t>
      </w:r>
      <w:r>
        <w:t xml:space="preserve">thermodynamic and structural screening, from which the best probes per gene were validated in 3D.</w:t>
      </w:r>
      <w:r>
        <w:t xml:space="preserve"> </w:t>
      </w:r>
      <w:r>
        <w:t xml:space="preserve">Alignment-free diversity and rarefaction analyses characterised each target and</w:t>
      </w:r>
      <w:r>
        <w:t xml:space="preserve"> </w:t>
      </w:r>
      <w:r>
        <w:t xml:space="preserve">justified the sampling depth. The result is a prioritised, biophysically sound set of probe candidates and a</w:t>
      </w:r>
      <w:r>
        <w:t xml:space="preserve"> </w:t>
      </w:r>
      <w:r>
        <w:t xml:space="preserve">reproducible framework that provides the sequence-level foundation for the rational design of</w:t>
      </w:r>
      <w:r>
        <w:t xml:space="preserve"> </w:t>
      </w:r>
      <w:r>
        <w:t xml:space="preserve">aptamer–graphene GFET biosensors, and that generalises to new genes and organisms with minimal</w:t>
      </w:r>
      <w:r>
        <w:t xml:space="preserve"> </w:t>
      </w:r>
      <w:r>
        <w:t xml:space="preserve">configuration.</w:t>
      </w:r>
    </w:p>
    <w:bookmarkStart w:id="49" w:name="keywords"/>
    <w:p>
      <w:pPr>
        <w:pStyle w:val="Heading5"/>
      </w:pPr>
      <w:r>
        <w:rPr>
          <w:rStyle w:val="SectionNumber"/>
        </w:rPr>
        <w:t xml:space="preserve">0.0.0.0.1</w:t>
      </w:r>
      <w:r>
        <w:tab/>
      </w:r>
      <w:r>
        <w:t xml:space="preserve">Keywords</w:t>
      </w:r>
    </w:p>
    <w:p>
      <w:pPr>
        <w:pStyle w:val="FirstParagraph"/>
      </w:pPr>
      <w:r>
        <w:t xml:space="preserve">DNA aptamer, DNA probe, graphene biosensor, graphene field-effect transistor</w:t>
      </w:r>
      <w:r>
        <w:t xml:space="preserve"> </w:t>
      </w:r>
      <w:r>
        <w:t xml:space="preserve">(GFET), label-free detection, microbial DNA detection, point-of-care diagnostics, probe design,</w:t>
      </w:r>
      <w:r>
        <w:t xml:space="preserve"> </w:t>
      </w:r>
      <w:r>
        <w:t xml:space="preserve">sequence conservation, multiple sequence alignment, melting temperature, secondary structure,</w:t>
      </w:r>
      <w:r>
        <w:t xml:space="preserve"> </w:t>
      </w:r>
      <w:r>
        <w:t xml:space="preserve">No-fold score, 3D structure prediction</w:t>
      </w:r>
    </w:p>
    <w:bookmarkEnd w:id="49"/>
    <w:bookmarkEnd w:id="50"/>
    <w:bookmarkStart w:id="52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A deteção rápida e fiável de DNA microbiano é central para o diagnóstico clínico, a vigilância da</w:t>
      </w:r>
      <w:r>
        <w:t xml:space="preserve"> </w:t>
      </w:r>
      <w:r>
        <w:t xml:space="preserve">resistência antimicrobiana e a monitorização ambiental, mas os métodos dominantes, baseados em</w:t>
      </w:r>
      <w:r>
        <w:t xml:space="preserve"> </w:t>
      </w:r>
      <w:r>
        <w:t xml:space="preserve">amplificação, exigem infraestrutura laboratorial que limita o seu uso no local de prestação de cuidados.</w:t>
      </w:r>
      <w:r>
        <w:t xml:space="preserve"> </w:t>
      </w:r>
      <w:r>
        <w:t xml:space="preserve">Os biossensores baseados em transístores de efeito de campo de grafeno (GFET), funcionalizados com</w:t>
      </w:r>
      <w:r>
        <w:t xml:space="preserve"> </w:t>
      </w:r>
      <w:r>
        <w:t xml:space="preserve">elementos de reconhecimento de DNA de cadeia simples, oferecem uma alternativa sem marcação</w:t>
      </w:r>
      <w:r>
        <w:t xml:space="preserve"> </w:t>
      </w:r>
      <w:r>
        <w:t xml:space="preserve">apelativa, convertendo a hibridação de uma sequência-alvo à superfície do grafeno num sinal elétrico</w:t>
      </w:r>
      <w:r>
        <w:t xml:space="preserve"> </w:t>
      </w:r>
      <w:r>
        <w:t xml:space="preserve">mensurável. O estrangulamento desta abordagem é a sequência de reconhecimento: identificar, para cada</w:t>
      </w:r>
      <w:r>
        <w:t xml:space="preserve"> </w:t>
      </w:r>
      <w:r>
        <w:t xml:space="preserve">agente patogénico, sondas candidatas que sejam conservadas entre estirpes, hibridem favoravelmente e</w:t>
      </w:r>
      <w:r>
        <w:t xml:space="preserve"> </w:t>
      </w:r>
      <w:r>
        <w:t xml:space="preserve">estejam livres de estrutura secundária estável, sem recorrer à triagem experimental dispendiosa e de</w:t>
      </w:r>
      <w:r>
        <w:t xml:space="preserve"> </w:t>
      </w:r>
      <w:r>
        <w:t xml:space="preserve">baixo débito de centenas de candidatas.</w:t>
      </w:r>
    </w:p>
    <w:p>
      <w:pPr>
        <w:pStyle w:val="BodyText"/>
      </w:pPr>
      <w:r>
        <w:t xml:space="preserve">Esta dissertação aborda esse estrangulamento com um pipeline computacional reprodutível para a</w:t>
      </w:r>
      <w:r>
        <w:t xml:space="preserve"> </w:t>
      </w:r>
      <w:r>
        <w:rPr>
          <w:i/>
          <w:iCs/>
        </w:rPr>
        <w:t xml:space="preserve">descoberta</w:t>
      </w:r>
      <w:r>
        <w:t xml:space="preserve"> </w:t>
      </w:r>
      <w:r>
        <w:t xml:space="preserve">de sondas de DNA candidatas para biossensores GFET, desenvolvido para um painel de</w:t>
      </w:r>
      <w:r>
        <w:t xml:space="preserve"> </w:t>
      </w:r>
      <w:r>
        <w:t xml:space="preserve">genes marcadores bacterianos clinicamente relevantes. A partir de sequências obtidas nas bases de dados</w:t>
      </w:r>
      <w:r>
        <w:t xml:space="preserve"> </w:t>
      </w:r>
      <w:r>
        <w:t xml:space="preserve">do NCBI, o pipeline realiza a seleção automática do agrupamento de comprimento, o alinhamento múltiplo</w:t>
      </w:r>
      <w:r>
        <w:t xml:space="preserve"> </w:t>
      </w:r>
      <w:r>
        <w:t xml:space="preserve">com o MAFFT e a pontuação de conservação por coluna baseada na Percentagem de Identidade</w:t>
      </w:r>
      <w:r>
        <w:t xml:space="preserve"> </w:t>
      </w:r>
      <w:r>
        <w:t xml:space="preserve">Par-a-Par. As candidatas, geradas por janela deslizante, são filtradas com termodinâmica de vizinhos</w:t>
      </w:r>
      <w:r>
        <w:t xml:space="preserve"> </w:t>
      </w:r>
      <w:r>
        <w:t xml:space="preserve">mais próximos (temperatura de fusão, conteúdo em GC, energias de hairpin e homodímero) e avaliadas</w:t>
      </w:r>
      <w:r>
        <w:t xml:space="preserve"> </w:t>
      </w:r>
      <w:r>
        <w:t xml:space="preserve">quanto à estrutura secundária, condensada num score contínuo</w:t>
      </w:r>
      <w:r>
        <w:t xml:space="preserve"> </w:t>
      </w:r>
      <w:r>
        <w:t xml:space="preserve">“No-fold”</w:t>
      </w:r>
      <w:r>
        <w:t xml:space="preserve">. Todos os limiares são</w:t>
      </w:r>
      <w:r>
        <w:t xml:space="preserve"> </w:t>
      </w:r>
      <w:r>
        <w:t xml:space="preserve">resolvidos através de um esquema em camadas e sensível ao organismo (gene, espécie e tipo de</w:t>
      </w:r>
      <w:r>
        <w:t xml:space="preserve"> </w:t>
      </w:r>
      <w:r>
        <w:t xml:space="preserve">organismo), para que agentes patogénicos com composição genómica muito distinta sejam avaliados de</w:t>
      </w:r>
      <w:r>
        <w:t xml:space="preserve"> </w:t>
      </w:r>
      <w:r>
        <w:t xml:space="preserve">forma justa. As candidatas de maior qualidade são priorizadas e validadas tridimensionalmente, e é</w:t>
      </w:r>
      <w:r>
        <w:t xml:space="preserve"> </w:t>
      </w:r>
      <w:r>
        <w:t xml:space="preserve">produzido um conjunto de dados curado e rico em atributos com as melhores candidatas por gene.</w:t>
      </w:r>
    </w:p>
    <w:p>
      <w:pPr>
        <w:pStyle w:val="BodyText"/>
      </w:pPr>
      <w:r>
        <w:t xml:space="preserve">Aplicado ao painel de seis genes, o pipeline reduziu 8455 janelas candidatas a 2943 que passaram a</w:t>
      </w:r>
      <w:r>
        <w:t xml:space="preserve"> </w:t>
      </w:r>
      <w:r>
        <w:t xml:space="preserve">triagem termodinâmica e estrutural, a partir das quais as melhores sondas por gene foram validadas em</w:t>
      </w:r>
      <w:r>
        <w:t xml:space="preserve"> </w:t>
      </w:r>
      <w:r>
        <w:t xml:space="preserve">3D. Análises de diversidade sem alinhamento e de rarefação</w:t>
      </w:r>
      <w:r>
        <w:t xml:space="preserve"> </w:t>
      </w:r>
      <w:r>
        <w:t xml:space="preserve">caracterizaram cada alvo e justificaram a profundidade de amostragem. O resultado é um conjunto</w:t>
      </w:r>
      <w:r>
        <w:t xml:space="preserve"> </w:t>
      </w:r>
      <w:r>
        <w:t xml:space="preserve">priorizado e biofisicamente sólido de sondas candidatas e uma estrutura reprodutível que constitui o</w:t>
      </w:r>
      <w:r>
        <w:t xml:space="preserve"> </w:t>
      </w:r>
      <w:r>
        <w:t xml:space="preserve">alicerce, ao nível da sequência, para o desenho racional de biossensores GFET de aptâmero–grafeno,</w:t>
      </w:r>
      <w:r>
        <w:t xml:space="preserve"> </w:t>
      </w:r>
      <w:r>
        <w:t xml:space="preserve">generalizável a novos genes e organismos com configuração mínima.</w:t>
      </w:r>
    </w:p>
    <w:bookmarkStart w:id="51" w:name="palavras-chave"/>
    <w:p>
      <w:pPr>
        <w:pStyle w:val="Heading5"/>
      </w:pPr>
      <w:r>
        <w:rPr>
          <w:rStyle w:val="SectionNumber"/>
        </w:rPr>
        <w:t xml:space="preserve">0.0.0.0.2</w:t>
      </w:r>
      <w:r>
        <w:tab/>
      </w:r>
      <w:r>
        <w:t xml:space="preserve">Palavras-chave</w:t>
      </w:r>
    </w:p>
    <w:p>
      <w:pPr>
        <w:pStyle w:val="FirstParagraph"/>
      </w:pPr>
      <w:r>
        <w:t xml:space="preserve">aptâmero de DNA, sonda de DNA, biossensor de grafeno, transístor de</w:t>
      </w:r>
      <w:r>
        <w:t xml:space="preserve"> </w:t>
      </w:r>
      <w:r>
        <w:t xml:space="preserve">efeito de campo de grafeno (GFET), deteção sem marcação, deteção de DNA microbiano, diagnóstico no</w:t>
      </w:r>
      <w:r>
        <w:t xml:space="preserve"> </w:t>
      </w:r>
      <w:r>
        <w:t xml:space="preserve">local de prestação de cuidados, desenho de sondas, conservação de sequência, alinhamento múltiplo</w:t>
      </w:r>
      <w:r>
        <w:t xml:space="preserve"> </w:t>
      </w:r>
      <w:r>
        <w:t xml:space="preserve">de sequências, temperatura de fusão, estrutura secundária, score No-fold,</w:t>
      </w:r>
      <w:r>
        <w:t xml:space="preserve"> </w:t>
      </w:r>
      <w:r>
        <w:t xml:space="preserve">previsão de estrutura 3D</w:t>
      </w:r>
    </w:p>
    <w:bookmarkEnd w:id="51"/>
    <w:bookmarkEnd w:id="52"/>
    <w:bookmarkStart w:id="5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53" w:name="contex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Context</w:t>
      </w:r>
    </w:p>
    <w:p>
      <w:pPr>
        <w:pStyle w:val="FirstParagraph"/>
      </w:pPr>
      <w:r>
        <w:t xml:space="preserve">Bacterial infections are among the leading causes of death worldwide, and the spread of</w:t>
      </w:r>
      <w:r>
        <w:t xml:space="preserve"> </w:t>
      </w:r>
      <w:r>
        <w:t xml:space="preserve">amr</w:t>
      </w:r>
      <w:r>
        <w:t xml:space="preserve"> </w:t>
      </w:r>
      <w:r>
        <w:t xml:space="preserve">is steadily eroding the ability to treat them: an estimated</w:t>
      </w:r>
      <w:r>
        <w:t xml:space="preserve"> </w:t>
      </w:r>
      <m:oMath>
        <m:r>
          <m:t>4.95</m:t>
        </m:r>
      </m:oMath>
      <w:r>
        <w:t xml:space="preserve"> million deaths were associated with</w:t>
      </w:r>
      <w:r>
        <w:t xml:space="preserve"> </w:t>
      </w:r>
      <w:r>
        <w:t xml:space="preserve">bacterial</w:t>
      </w:r>
      <w:r>
        <w:t xml:space="preserve"> </w:t>
      </w:r>
      <w:r>
        <w:t xml:space="preserve">amr</w:t>
      </w:r>
      <w:r>
        <w:t xml:space="preserve"> </w:t>
      </w:r>
      <w:r>
        <w:t xml:space="preserve">in</w:t>
      </w:r>
      <w:r>
        <w:t xml:space="preserve"> </w:t>
      </w:r>
      <m:oMath>
        <m:r>
          <m:t>2019</m:t>
        </m:r>
      </m:oMath>
      <w:r>
        <w:t xml:space="preserve">, of which</w:t>
      </w:r>
      <w:r>
        <w:t xml:space="preserve"> </w:t>
      </w:r>
      <m:oMath>
        <m:r>
          <m:t>1.27</m:t>
        </m:r>
      </m:oMath>
      <w:r>
        <w:t xml:space="preserve"> million were directly attributable to it</w:t>
      </w:r>
      <w:r>
        <w:t xml:space="preserve"> </w:t>
      </w:r>
      <w:r>
        <w:t xml:space="preserve">(</w:t>
      </w:r>
      <w:r>
        <w:t xml:space="preserve">Murray et al.</w:t>
      </w:r>
      <w:r>
        <w:t xml:space="preserve"> </w:t>
      </w:r>
      <w:r>
        <w:t xml:space="preserve">2022)</w:t>
      </w:r>
      <w:r>
        <w:t xml:space="preserve">. Rapid identification of the infecting pathogen, and increasingly of its resistance</w:t>
      </w:r>
      <w:r>
        <w:t xml:space="preserve"> </w:t>
      </w:r>
      <w:r>
        <w:t xml:space="preserve">determinants, is therefore central to guiding therapy, to infection control and to public-health</w:t>
      </w:r>
      <w:r>
        <w:t xml:space="preserve"> </w:t>
      </w:r>
      <w:r>
        <w:t xml:space="preserve">surveillance; several of the species targeted in this work feature on the</w:t>
      </w:r>
      <w:r>
        <w:t xml:space="preserve"> </w:t>
      </w:r>
      <w:r>
        <w:t xml:space="preserve">WHO</w:t>
      </w:r>
      <w:r>
        <w:t xml:space="preserve"> </w:t>
      </w:r>
      <w:r>
        <w:t xml:space="preserve">Bacterial Priority</w:t>
      </w:r>
      <w:r>
        <w:t xml:space="preserve"> </w:t>
      </w:r>
      <w:r>
        <w:t xml:space="preserve">Pathogens List</w:t>
      </w:r>
      <w:r>
        <w:t xml:space="preserve"> </w:t>
      </w:r>
      <w:r>
        <w:t xml:space="preserve">(World Health Organization 2024)</w:t>
      </w:r>
      <w:r>
        <w:t xml:space="preserve">.</w:t>
      </w:r>
    </w:p>
    <w:p>
      <w:pPr>
        <w:pStyle w:val="BodyText"/>
      </w:pPr>
      <w:r>
        <w:t xml:space="preserve">The fast identification of microbial DNA underpins the diagnosis of infection and the tracking of</w:t>
      </w:r>
      <w:r>
        <w:t xml:space="preserve"> </w:t>
      </w:r>
      <w:r>
        <w:t xml:space="preserve">environmental contamination. Culture-based methods are slow, and although the</w:t>
      </w:r>
      <w:r>
        <w:t xml:space="preserve"> </w:t>
      </w:r>
      <w:r>
        <w:t xml:space="preserve">pcr</w:t>
      </w:r>
      <w:r>
        <w:t xml:space="preserve"> </w:t>
      </w:r>
      <w:r>
        <w:t xml:space="preserve">and related</w:t>
      </w:r>
      <w:r>
        <w:t xml:space="preserve"> </w:t>
      </w:r>
      <w:r>
        <w:t xml:space="preserve">amplification techniques are highly sensitive and specific, they require dedicated equipment, controlled</w:t>
      </w:r>
      <w:r>
        <w:t xml:space="preserve"> </w:t>
      </w:r>
      <w:r>
        <w:t xml:space="preserve">laboratory conditions and lengthy sample preparation, which restricts their use outside the laboratory</w:t>
      </w:r>
      <w:r>
        <w:t xml:space="preserve"> </w:t>
      </w:r>
      <w:r>
        <w:t xml:space="preserve">(Hu et al. 2024)</w:t>
      </w:r>
      <w:r>
        <w:t xml:space="preserve">. This has driven the development of miniaturised solid-state biosensors, which convert a</w:t>
      </w:r>
      <w:r>
        <w:t xml:space="preserve"> </w:t>
      </w:r>
      <w:r>
        <w:t xml:space="preserve">molecular-recognition event directly into an electrical or electrochemical signal and thereby enable rapid,</w:t>
      </w:r>
      <w:r>
        <w:t xml:space="preserve"> </w:t>
      </w:r>
      <w:r>
        <w:t xml:space="preserve">portable and</w:t>
      </w:r>
      <w:r>
        <w:t xml:space="preserve"> </w:t>
      </w:r>
      <w:r>
        <w:t xml:space="preserve">poc</w:t>
      </w:r>
      <w:r>
        <w:t xml:space="preserve"> </w:t>
      </w:r>
      <w:r>
        <w:t xml:space="preserve">testing</w:t>
      </w:r>
      <w:r>
        <w:t xml:space="preserve"> </w:t>
      </w:r>
      <w:r>
        <w:t xml:space="preserve">(Kozel and Burnham-Marusich 2017; Krishnan et al. 2023)</w:t>
      </w:r>
      <w:r>
        <w:t xml:space="preserve">.</w:t>
      </w:r>
    </w:p>
    <w:p>
      <w:pPr>
        <w:pStyle w:val="BodyText"/>
      </w:pPr>
      <w:r>
        <w:t xml:space="preserve">Coupling DNA recognition elements to a</w:t>
      </w:r>
      <w:r>
        <w:t xml:space="preserve"> </w:t>
      </w:r>
      <w:r>
        <w:t xml:space="preserve">gfet</w:t>
      </w:r>
      <w:r>
        <w:t xml:space="preserve"> </w:t>
      </w:r>
      <w:r>
        <w:t xml:space="preserve">has been proposed as a particularly promising route</w:t>
      </w:r>
      <w:r>
        <w:t xml:space="preserve"> </w:t>
      </w:r>
      <w:r>
        <w:t xml:space="preserve">to label-free nucleic-acid detection</w:t>
      </w:r>
      <w:r>
        <w:t xml:space="preserve"> </w:t>
      </w:r>
      <w:r>
        <w:t xml:space="preserve">(Green and Norton 2015)</w:t>
      </w:r>
      <w:r>
        <w:t xml:space="preserve">. Graphene, a two-dimensional sheet of carbon</w:t>
      </w:r>
      <w:r>
        <w:t xml:space="preserve"> </w:t>
      </w:r>
      <w:r>
        <w:t xml:space="preserve">isolated in 2004</w:t>
      </w:r>
      <w:r>
        <w:t xml:space="preserve"> </w:t>
      </w:r>
      <w:r>
        <w:t xml:space="preserve">(Novoselov et al. 2004)</w:t>
      </w:r>
      <w:r>
        <w:t xml:space="preserve">, has its entire conduction channel exposed at its surface and</w:t>
      </w:r>
      <w:r>
        <w:t xml:space="preserve"> </w:t>
      </w:r>
      <w:r>
        <w:t xml:space="preserve">transduces local charge variations with such sensitivity that even a single adsorbed molecule can be</w:t>
      </w:r>
      <w:r>
        <w:t xml:space="preserve"> </w:t>
      </w:r>
      <w:r>
        <w:t xml:space="preserve">detected</w:t>
      </w:r>
      <w:r>
        <w:t xml:space="preserve"> </w:t>
      </w:r>
      <w:r>
        <w:t xml:space="preserve">(Schedin et al. 2007)</w:t>
      </w:r>
      <w:r>
        <w:t xml:space="preserve">; when it is functionalised with a</w:t>
      </w:r>
      <w:r>
        <w:t xml:space="preserve"> </w:t>
      </w:r>
      <w:r>
        <w:t xml:space="preserve">ssdna</w:t>
      </w:r>
      <w:r>
        <w:t xml:space="preserve"> </w:t>
      </w:r>
      <w:r>
        <w:t xml:space="preserve">probe, the hybridisation of</w:t>
      </w:r>
      <w:r>
        <w:t xml:space="preserve"> </w:t>
      </w:r>
      <w:r>
        <w:t xml:space="preserve">a complementary microbial target modulates the transistor current in a label-free manner. In practice, the</w:t>
      </w:r>
      <w:r>
        <w:t xml:space="preserve"> </w:t>
      </w:r>
      <w:r>
        <w:t xml:space="preserve">probe is anchored to the graphene surface through a linker, such as a pyrene derivative that binds</w:t>
      </w:r>
      <w:r>
        <w:t xml:space="preserve"> </w:t>
      </w:r>
      <w:r>
        <w:t xml:space="preserve">non-covalently by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stacking, and target hybridisation shifts the transistor’s charge-neutrality</w:t>
      </w:r>
      <w:r>
        <w:t xml:space="preserve"> </w:t>
      </w:r>
      <w:r>
        <w:t xml:space="preserve">(Dirac) point; electrolyte-gated graphene devices of this kind have achieved label-free detection of DNA</w:t>
      </w:r>
      <w:r>
        <w:t xml:space="preserve"> </w:t>
      </w:r>
      <w:r>
        <w:t xml:space="preserve">hybridisation down to the attomolar range</w:t>
      </w:r>
      <w:r>
        <w:t xml:space="preserve"> </w:t>
      </w:r>
      <w:r>
        <w:t xml:space="preserve">(Campos et al. 2019)</w:t>
      </w:r>
      <w:r>
        <w:t xml:space="preserve">. The performance of such devices, and the</w:t>
      </w:r>
      <w:r>
        <w:t xml:space="preserve"> </w:t>
      </w:r>
      <w:r>
        <w:t xml:space="preserve">influence of the sensing interface and ionic conditions on it, is reviewed in detail in Chapter 2.</w:t>
      </w:r>
    </w:p>
    <w:p>
      <w:pPr>
        <w:pStyle w:val="BodyText"/>
      </w:pPr>
      <w:r>
        <w:t xml:space="preserve">The specificity and sensitivity of such a device ultimately depend on the immobilised recognition</w:t>
      </w:r>
      <w:r>
        <w:t xml:space="preserve"> </w:t>
      </w:r>
      <w:r>
        <w:t xml:space="preserve">sequence, which must meet several partly competing requirements: it must target a genomic region that is</w:t>
      </w:r>
      <w:r>
        <w:t xml:space="preserve"> </w:t>
      </w:r>
      <w:r>
        <w:t xml:space="preserve">conserved across the clinical strains of the pathogen, so that strain variation does not cause false</w:t>
      </w:r>
      <w:r>
        <w:t xml:space="preserve"> </w:t>
      </w:r>
      <w:r>
        <w:t xml:space="preserve">negatives; it must hybridise strongly and specifically at the assay temperature, which constrains its</w:t>
      </w:r>
      <w:r>
        <w:t xml:space="preserve"> </w:t>
      </w:r>
      <w:r>
        <w:t xml:space="preserve">length, melting temperature and</w:t>
      </w:r>
      <w:r>
        <w:t xml:space="preserve"> </w:t>
      </w:r>
      <w:r>
        <w:t xml:space="preserve">gc</w:t>
      </w:r>
      <w:r>
        <w:t xml:space="preserve"> </w:t>
      </w:r>
      <w:r>
        <w:t xml:space="preserve">content; and it must avoid folding into stable hairpins or</w:t>
      </w:r>
      <w:r>
        <w:t xml:space="preserve"> </w:t>
      </w:r>
      <w:r>
        <w:t xml:space="preserve">self-dimers that would compete with hybridisation. These requirements are biophysical and quantifiable,</w:t>
      </w:r>
      <w:r>
        <w:t xml:space="preserve"> </w:t>
      </w:r>
      <w:r>
        <w:t xml:space="preserve">which makes them amenable to systematic computational evaluation.</w:t>
      </w:r>
    </w:p>
    <w:p>
      <w:pPr>
        <w:pStyle w:val="BodyText"/>
      </w:pPr>
      <w:r>
        <w:t xml:space="preserve">Building on these experimental developments, a central practical obstacle remains: the high cost and low</w:t>
      </w:r>
      <w:r>
        <w:t xml:space="preserve"> </w:t>
      </w:r>
      <w:r>
        <w:t xml:space="preserve">throughput of experimentally testing hundreds of candidate probes in order to discriminate multiple</w:t>
      </w:r>
      <w:r>
        <w:t xml:space="preserve"> </w:t>
      </w:r>
      <w:r>
        <w:t xml:space="preserve">pathogenic species. This motivates a</w:t>
      </w:r>
      <w:r>
        <w:t xml:space="preserve"> </w:t>
      </w:r>
      <w:r>
        <w:rPr>
          <w:i/>
          <w:iCs/>
        </w:rPr>
        <w:t xml:space="preserve">complementary computational screening strategy</w:t>
      </w:r>
      <w:r>
        <w:t xml:space="preserve"> </w:t>
      </w:r>
      <w:r>
        <w:t xml:space="preserve">that can</w:t>
      </w:r>
      <w:r>
        <w:t xml:space="preserve"> </w:t>
      </w:r>
      <w:r>
        <w:t xml:space="preserve">prioritise a small number of promising candidates before any experimental effort is spent.</w:t>
      </w:r>
    </w:p>
    <w:bookmarkEnd w:id="53"/>
    <w:bookmarkStart w:id="54" w:name="problem-statemen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Problem statement</w:t>
      </w:r>
    </w:p>
    <w:p>
      <w:pPr>
        <w:pStyle w:val="FirstParagraph"/>
      </w:pPr>
      <w:r>
        <w:t xml:space="preserve">The scientific problem addressed in this dissertation is how to computationally</w:t>
      </w:r>
      <w:r>
        <w:t xml:space="preserve"> </w:t>
      </w:r>
      <w:r>
        <w:rPr>
          <w:i/>
          <w:iCs/>
        </w:rPr>
        <w:t xml:space="preserve">discover and</w:t>
      </w:r>
      <w:r>
        <w:rPr>
          <w:i/>
          <w:iCs/>
        </w:rPr>
        <w:t xml:space="preserve"> </w:t>
      </w:r>
      <w:r>
        <w:rPr>
          <w:i/>
          <w:iCs/>
        </w:rPr>
        <w:t xml:space="preserve">prioritise</w:t>
      </w:r>
      <w:r>
        <w:t xml:space="preserve"> </w:t>
      </w:r>
      <w:r>
        <w:t xml:space="preserve">DNA probe candidates that recognise specific microbial DNA sequences and are suitable for</w:t>
      </w:r>
      <w:r>
        <w:t xml:space="preserve"> </w:t>
      </w:r>
      <w:r>
        <w:t xml:space="preserve">transduction on a</w:t>
      </w:r>
      <w:r>
        <w:t xml:space="preserve"> </w:t>
      </w:r>
      <w:r>
        <w:t xml:space="preserve">gfet</w:t>
      </w:r>
      <w:r>
        <w:t xml:space="preserve">. This requires analysing the sequence and structural features — genomic</w:t>
      </w:r>
      <w:r>
        <w:t xml:space="preserve"> </w:t>
      </w:r>
      <w:r>
        <w:t xml:space="preserve">conservation, hybridisation thermodynamics and self-structure — that determine whether a probe will bind</w:t>
      </w:r>
      <w:r>
        <w:t xml:space="preserve"> </w:t>
      </w:r>
      <w:r>
        <w:t xml:space="preserve">its target strongly and specifically across clinical strains, and doing so in a reproducible, automated way</w:t>
      </w:r>
      <w:r>
        <w:t xml:space="preserve"> </w:t>
      </w:r>
      <w:r>
        <w:t xml:space="preserve">that scales across many genes and organisms of very different genome composition</w:t>
      </w:r>
      <w:r>
        <w:t xml:space="preserve"> </w:t>
      </w:r>
      <w:r>
        <w:t xml:space="preserve">(Green and Norton 2015; Campos et al. 2019)</w:t>
      </w:r>
      <w:r>
        <w:t xml:space="preserve">.</w:t>
      </w:r>
    </w:p>
    <w:bookmarkEnd w:id="54"/>
    <w:bookmarkStart w:id="55" w:name="objectiv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Objectives</w:t>
      </w:r>
    </w:p>
    <w:p>
      <w:pPr>
        <w:pStyle w:val="FirstParagraph"/>
      </w:pPr>
      <w:r>
        <w:t xml:space="preserve">The main objective is to build a reproducible computational pipeline that turns a target gene into a small</w:t>
      </w:r>
      <w:r>
        <w:t xml:space="preserve"> </w:t>
      </w:r>
      <w:r>
        <w:t xml:space="preserve">set of ranked, biophysically validated</w:t>
      </w:r>
      <w:r>
        <w:t xml:space="preserve"> </w:t>
      </w:r>
      <w:r>
        <w:t xml:space="preserve">ssdna</w:t>
      </w:r>
      <w:r>
        <w:t xml:space="preserve"> </w:t>
      </w:r>
      <w:r>
        <w:t xml:space="preserve">probe candidates for</w:t>
      </w:r>
      <w:r>
        <w:t xml:space="preserve"> </w:t>
      </w:r>
      <w:r>
        <w:t xml:space="preserve">gfet</w:t>
      </w:r>
      <w:r>
        <w:t xml:space="preserve"> </w:t>
      </w:r>
      <w:r>
        <w:t xml:space="preserve">biosensing.</w:t>
      </w:r>
      <w:r>
        <w:t xml:space="preserve"> </w:t>
      </w:r>
      <w:r>
        <w:t xml:space="preserve">This decomposes into the following specific objectives:</w:t>
      </w:r>
    </w:p>
    <w:p>
      <w:pPr>
        <w:numPr>
          <w:ilvl w:val="0"/>
          <w:numId w:val="1001"/>
        </w:numPr>
      </w:pPr>
      <w:r>
        <w:t xml:space="preserve">select a panel of clinically relevant microbial targets and marker genes, and automate the</w:t>
      </w:r>
      <w:r>
        <w:t xml:space="preserve"> </w:t>
      </w:r>
      <w:r>
        <w:t xml:space="preserve">retrieval and curation of their sequences from the</w:t>
      </w:r>
      <w:r>
        <w:t xml:space="preserve"> </w:t>
      </w:r>
      <w:r>
        <w:t xml:space="preserve">ncbi</w:t>
      </w:r>
      <w:r>
        <w:t xml:space="preserve"> </w:t>
      </w:r>
      <w:r>
        <w:t xml:space="preserve">databases;</w:t>
      </w:r>
    </w:p>
    <w:p>
      <w:pPr>
        <w:numPr>
          <w:ilvl w:val="0"/>
          <w:numId w:val="1001"/>
        </w:numPr>
      </w:pPr>
      <w:r>
        <w:t xml:space="preserve">identify conserved regions through multiple sequence alignment and per-column conservation</w:t>
      </w:r>
      <w:r>
        <w:t xml:space="preserve"> </w:t>
      </w:r>
      <w:r>
        <w:t xml:space="preserve">scoring, so that the probes detect their target across clinical strains;</w:t>
      </w:r>
    </w:p>
    <w:p>
      <w:pPr>
        <w:numPr>
          <w:ilvl w:val="0"/>
          <w:numId w:val="1001"/>
        </w:numPr>
      </w:pPr>
      <w:r>
        <w:t xml:space="preserve">screen candidate probes with well-founded biophysical criteria (melting temperature, GC content,</w:t>
      </w:r>
      <w:r>
        <w:t xml:space="preserve"> </w:t>
      </w:r>
      <w:r>
        <w:t xml:space="preserve">hairpin, homodimer and secondary-structure stability) and combine them into transparent quality</w:t>
      </w:r>
      <w:r>
        <w:t xml:space="preserve"> </w:t>
      </w:r>
      <w:r>
        <w:t xml:space="preserve">scores;</w:t>
      </w:r>
    </w:p>
    <w:p>
      <w:pPr>
        <w:numPr>
          <w:ilvl w:val="0"/>
          <w:numId w:val="1001"/>
        </w:numPr>
      </w:pPr>
      <w:r>
        <w:t xml:space="preserve">make the design criteria</w:t>
      </w:r>
      <w:r>
        <w:t xml:space="preserve"> </w:t>
      </w:r>
      <w:r>
        <w:rPr>
          <w:i/>
          <w:iCs/>
        </w:rPr>
        <w:t xml:space="preserve">organism-aware</w:t>
      </w:r>
      <w:r>
        <w:t xml:space="preserve">, so that targets with very different genome</w:t>
      </w:r>
      <w:r>
        <w:t xml:space="preserve"> </w:t>
      </w:r>
      <w:r>
        <w:t xml:space="preserve">composition (AT-rich or GC-rich) are evaluated fairly;</w:t>
      </w:r>
    </w:p>
    <w:p>
      <w:pPr>
        <w:numPr>
          <w:ilvl w:val="0"/>
          <w:numId w:val="1001"/>
        </w:numPr>
      </w:pPr>
      <w:r>
        <w:t xml:space="preserve">prioritise and validate the most promising candidates by three-dimensional structure prediction; and</w:t>
      </w:r>
    </w:p>
    <w:p>
      <w:pPr>
        <w:numPr>
          <w:ilvl w:val="0"/>
          <w:numId w:val="1001"/>
        </w:numPr>
      </w:pPr>
      <w:r>
        <w:t xml:space="preserve">produce curated, feature-rich datasets of the prioritised probe candidates.</w:t>
      </w:r>
    </w:p>
    <w:bookmarkEnd w:id="55"/>
    <w:bookmarkStart w:id="57" w:name="target-panel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Target panel</w:t>
      </w:r>
    </w:p>
    <w:p>
      <w:pPr>
        <w:pStyle w:val="FirstParagraph"/>
      </w:pPr>
      <w:r>
        <w:t xml:space="preserve">Six marker genes from six clinically important bacterial species were used as the working panel throughout</w:t>
      </w:r>
      <w:r>
        <w:t xml:space="preserve"> </w:t>
      </w:r>
      <w:r>
        <w:t xml:space="preserve">this work (Table </w:t>
      </w:r>
      <w:hyperlink w:anchor="tab:targets">
        <w:r>
          <w:rPr>
            <w:rStyle w:val="Hyperlink"/>
          </w:rPr>
          <w:t xml:space="preserve">1.1</w:t>
        </w:r>
      </w:hyperlink>
      <w:r>
        <w:t xml:space="preserve">). Several are established targets for the molecular detection of their</w:t>
      </w:r>
      <w:r>
        <w:t xml:space="preserve"> </w:t>
      </w:r>
      <w:r>
        <w:t xml:space="preserve">species: the thermonuclease gene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(Brakstad et al. 1992)</w:t>
      </w:r>
      <w:r>
        <w:t xml:space="preserve">, the</w:t>
      </w:r>
      <w:r>
        <w:t xml:space="preserve"> </w:t>
      </w:r>
      <w:r>
        <w:t xml:space="preserve">autolysin gene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 </w:t>
      </w:r>
      <w:r>
        <w:t xml:space="preserve">(</w:t>
      </w:r>
      <w:r>
        <w:t xml:space="preserve">Carvalho et al.</w:t>
      </w:r>
      <w:r>
        <w:t xml:space="preserve"> </w:t>
      </w:r>
      <w:r>
        <w:t xml:space="preserve">2007)</w:t>
      </w:r>
      <w:r>
        <w:t xml:space="preserve">, and the</w:t>
      </w:r>
      <w:r>
        <w:t xml:space="preserve"> </w:t>
      </w:r>
      <w:r>
        <w:t xml:space="preserve">outer-membrane lipoprotein gene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(De Vos et al. 1997)</w:t>
      </w:r>
      <w:r>
        <w:t xml:space="preserve">. The panel</w:t>
      </w:r>
      <w:r>
        <w:t xml:space="preserve"> </w:t>
      </w:r>
      <w:r>
        <w:t xml:space="preserve">spans a wide range of genome composition — from AT-rich (</w:t>
      </w:r>
      <w:r>
        <w:rPr>
          <w:i/>
          <w:iCs/>
        </w:rPr>
        <w:t xml:space="preserve">Staphylococcus aureus</w:t>
      </w:r>
      <w:r>
        <w:t xml:space="preserve">,</w:t>
      </w:r>
      <w:r>
        <w:t xml:space="preserve"> </w:t>
      </w:r>
      <w:r>
        <w:rPr>
          <w:i/>
          <w:iCs/>
        </w:rPr>
        <w:t xml:space="preserve">Haemophilus influenzae</w:t>
      </w:r>
      <w:r>
        <w:t xml:space="preserve">) to GC-rich (</w:t>
      </w:r>
      <w:r>
        <w:rPr>
          <w:i/>
          <w:iCs/>
        </w:rPr>
        <w:t xml:space="preserve">Pseudomonas aeruginosa</w:t>
      </w:r>
      <w:r>
        <w:t xml:space="preserve">) — which makes it a demanding</w:t>
      </w:r>
      <w:r>
        <w:t xml:space="preserve"> </w:t>
      </w:r>
      <w:r>
        <w:t xml:space="preserve">test of a general-purpose design</w:t>
      </w:r>
      <w:r>
        <w:t xml:space="preserve"> </w:t>
      </w:r>
      <w:r>
        <w:t xml:space="preserve">method.</w:t>
      </w:r>
    </w:p>
    <w:bookmarkStart w:id="56" w:name="tab:targets"/>
    <w:p>
      <w:pPr>
        <w:pStyle w:val="TableCaption"/>
      </w:pPr>
      <w:r>
        <w:t xml:space="preserve">Target genes and their host organisms used as the working panel.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rget genes and their host organisms used as the working pan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Staphylococcus aureus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thermonuclease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Neisseria meningitidis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class-4 outer-membrane protein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Streptococcus pneumoniae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autolysin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Pseudomonas aeruginosa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peptidoglycan-associated lipoprotein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Pseudomonas aeruginosa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GDP-mannose 6-dehydrogenase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Haemophilus influenzae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fumarate reductase Fe–S subunit</w:t>
            </w:r>
          </w:p>
        </w:tc>
      </w:tr>
    </w:tbl>
    <w:bookmarkEnd w:id="56"/>
    <w:bookmarkEnd w:id="57"/>
    <w:bookmarkStart w:id="58" w:name="structure-of-the-dissertation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Structure of the dissertation</w:t>
      </w:r>
    </w:p>
    <w:p>
      <w:pPr>
        <w:pStyle w:val="FirstParagraph"/>
      </w:pPr>
      <w:r>
        <w:t xml:space="preserve">The remainder of this dissertation is organised as follows. Chapter 2 reviews the state of the art in DNA</w:t>
      </w:r>
      <w:r>
        <w:t xml:space="preserve"> </w:t>
      </w:r>
      <w:r>
        <w:t xml:space="preserve">aptamers and probes, in graphene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for nucleic-acid detection, and in the</w:t>
      </w:r>
      <w:r>
        <w:t xml:space="preserve"> </w:t>
      </w:r>
      <w:r>
        <w:t xml:space="preserve">computational methods used to design and validate probe sequences. Chapter 3 describes the methods,</w:t>
      </w:r>
      <w:r>
        <w:t xml:space="preserve"> </w:t>
      </w:r>
      <w:r>
        <w:t xml:space="preserve">detailing every stage of the pipeline and the rationale for each design decision and threshold. Chapter 4</w:t>
      </w:r>
      <w:r>
        <w:t xml:space="preserve"> </w:t>
      </w:r>
      <w:r>
        <w:t xml:space="preserve">presents and discusses the results for the target panel — the screening funnel, the three-dimensional</w:t>
      </w:r>
      <w:r>
        <w:t xml:space="preserve"> </w:t>
      </w:r>
      <w:r>
        <w:t xml:space="preserve">validation, the diversity and rarefaction analyses, and the comparison with a reference probe panel.</w:t>
      </w:r>
      <w:r>
        <w:t xml:space="preserve"> </w:t>
      </w:r>
      <w:r>
        <w:t xml:space="preserve">Chapter 5 draws the main conclusions and outlines future work.</w:t>
      </w:r>
    </w:p>
    <w:bookmarkEnd w:id="58"/>
    <w:bookmarkEnd w:id="59"/>
    <w:bookmarkStart w:id="65" w:name="state-of-the-ar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State of the Art</w:t>
      </w:r>
    </w:p>
    <w:p>
      <w:pPr>
        <w:pStyle w:val="FirstParagraph"/>
      </w:pPr>
      <w:r>
        <w:t xml:space="preserve">This chapter reviews the background needed to frame the work. It covers DNA aptamers and probes as</w:t>
      </w:r>
      <w:r>
        <w:t xml:space="preserve"> </w:t>
      </w:r>
      <w:r>
        <w:t xml:space="preserve">recognition elements, graphene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for nucleic-acid detection, the physics of the</w:t>
      </w:r>
      <w:r>
        <w:t xml:space="preserve"> </w:t>
      </w:r>
      <w:r>
        <w:t xml:space="preserve">DNA–graphene interface, and the computational methods used to design and validate probe sequences.</w:t>
      </w:r>
    </w:p>
    <w:bookmarkStart w:id="60" w:name="X782462caf811581d30f84c419f4fc8cfb5d3fad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DNA aptamers and probes as recognition elements</w:t>
      </w:r>
    </w:p>
    <w:p>
      <w:pPr>
        <w:pStyle w:val="FirstParagraph"/>
      </w:pPr>
      <w:r>
        <w:t xml:space="preserve">DNA aptamers are short single-stranded nucleic acids, selected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</w:t>
      </w:r>
      <w:r>
        <w:t xml:space="preserve"> </w:t>
      </w:r>
      <w:r>
        <w:t xml:space="preserve">selex</w:t>
      </w:r>
      <w:r>
        <w:t xml:space="preserve"> </w:t>
      </w:r>
      <w:r>
        <w:t xml:space="preserve">(Tuerk and Gold 1990; Ellington and Szostak 1990)</w:t>
      </w:r>
      <w:r>
        <w:t xml:space="preserve">, that fold into defined structures capable of high-affinity,</w:t>
      </w:r>
      <w:r>
        <w:t xml:space="preserve"> </w:t>
      </w:r>
      <w:r>
        <w:t xml:space="preserve">high-specificity recognition of a target</w:t>
      </w:r>
      <w:r>
        <w:t xml:space="preserve"> </w:t>
      </w:r>
      <w:r>
        <w:t xml:space="preserve">(Stephens et al. 2025; Sun et al. 2022)</w:t>
      </w:r>
      <w:r>
        <w:t xml:space="preserve">. Cell-</w:t>
      </w:r>
      <w:r>
        <w:t xml:space="preserve">selex</w:t>
      </w:r>
      <w:r>
        <w:t xml:space="preserve"> </w:t>
      </w:r>
      <w:r>
        <w:t xml:space="preserve">and related variants allow aptamers to be raised</w:t>
      </w:r>
      <w:r>
        <w:t xml:space="preserve"> </w:t>
      </w:r>
      <w:r>
        <w:t xml:space="preserve">against whole microbial cells and complex targets, yielding recognition elements for bacterial surface</w:t>
      </w:r>
      <w:r>
        <w:t xml:space="preserve"> </w:t>
      </w:r>
      <w:r>
        <w:t xml:space="preserve">antigens, toxins and viral components</w:t>
      </w:r>
      <w:r>
        <w:t xml:space="preserve"> </w:t>
      </w:r>
      <w:r>
        <w:t xml:space="preserve">(Kolm et al. 2020; Hu et al. 2024)</w:t>
      </w:r>
      <w:r>
        <w:t xml:space="preserve">. Because they are chemically synthesised,</w:t>
      </w:r>
      <w:r>
        <w:t xml:space="preserve"> </w:t>
      </w:r>
      <w:r>
        <w:t xml:space="preserve">aptamers and DNA probes are inexpensive, reproducible and easily modified, which makes them well suited</w:t>
      </w:r>
      <w:r>
        <w:t xml:space="preserve"> </w:t>
      </w:r>
      <w:r>
        <w:t xml:space="preserve">to solid-state biosensors and to</w:t>
      </w:r>
      <w:r>
        <w:t xml:space="preserve"> </w:t>
      </w:r>
      <w:r>
        <w:rPr>
          <w:i/>
          <w:iCs/>
        </w:rPr>
        <w:t xml:space="preserve">in silico</w:t>
      </w:r>
      <w:r>
        <w:t xml:space="preserve"> </w:t>
      </w:r>
      <w:r>
        <w:t xml:space="preserve">optimisation</w:t>
      </w:r>
      <w:r>
        <w:t xml:space="preserve"> </w:t>
      </w:r>
      <w:r>
        <w:t xml:space="preserve">(Sun et al. 2022)</w:t>
      </w:r>
      <w:r>
        <w:t xml:space="preserve">. For the</w:t>
      </w:r>
      <w:r>
        <w:t xml:space="preserve"> </w:t>
      </w:r>
      <w:r>
        <w:t xml:space="preserve">detection of a known microbial DNA sequence, a complementary hybridisation probe is the natural</w:t>
      </w:r>
      <w:r>
        <w:t xml:space="preserve"> </w:t>
      </w:r>
      <w:r>
        <w:t xml:space="preserve">recognition element: it targets a defined genomic region and is captured by Watson–Crick pairing, which is</w:t>
      </w:r>
      <w:r>
        <w:t xml:space="preserve"> </w:t>
      </w:r>
      <w:r>
        <w:t xml:space="preserve">the mechanism exploited throughout this work.</w:t>
      </w:r>
    </w:p>
    <w:bookmarkEnd w:id="60"/>
    <w:bookmarkStart w:id="61" w:name="X470f8a3c6eb5bb1ac2cae578dce4597cfa7b5d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Graphene GFET biosensors for DNA detection</w:t>
      </w:r>
    </w:p>
    <w:p>
      <w:pPr>
        <w:pStyle w:val="FirstParagraph"/>
      </w:pPr>
      <w:r>
        <w:t xml:space="preserve">Graphene combines very high carrier mobility with a fully surface-exposed conduction channel, so that</w:t>
      </w:r>
      <w:r>
        <w:t xml:space="preserve"> </w:t>
      </w:r>
      <w:r>
        <w:t xml:space="preserve">charges binding at its surface strongly modulate its conductance</w:t>
      </w:r>
      <w:r>
        <w:t xml:space="preserve"> </w:t>
      </w:r>
      <w:r>
        <w:t xml:space="preserve">(Novoselov et al. 2004)</w:t>
      </w:r>
      <w:r>
        <w:t xml:space="preserve">; the adsorption of</w:t>
      </w:r>
      <w:r>
        <w:t xml:space="preserve"> </w:t>
      </w:r>
      <w:r>
        <w:t xml:space="preserve">even a single molecule can be resolved electrically</w:t>
      </w:r>
      <w:r>
        <w:t xml:space="preserve"> </w:t>
      </w:r>
      <w:r>
        <w:t xml:space="preserve">(Schedin et al. 2007)</w:t>
      </w:r>
      <w:r>
        <w:t xml:space="preserve">, making it an outstanding</w:t>
      </w:r>
      <w:r>
        <w:t xml:space="preserve"> </w:t>
      </w:r>
      <w:r>
        <w:t xml:space="preserve">transducer for label-free sensing</w:t>
      </w:r>
      <w:r>
        <w:t xml:space="preserve"> </w:t>
      </w:r>
      <w:r>
        <w:t xml:space="preserve">(Krishnan et al. 2023; Green and Norton 2015)</w:t>
      </w:r>
      <w:r>
        <w:t xml:space="preserve">, including for nucleic acids at very low</w:t>
      </w:r>
      <w:r>
        <w:t xml:space="preserve"> </w:t>
      </w:r>
      <w:r>
        <w:t xml:space="preserve">concentrations</w:t>
      </w:r>
      <w:r>
        <w:t xml:space="preserve"> </w:t>
      </w:r>
      <w:r>
        <w:t xml:space="preserve">(Hwang et al. 2020)</w:t>
      </w:r>
      <w:r>
        <w:t xml:space="preserve">. In a</w:t>
      </w:r>
      <w:r>
        <w:t xml:space="preserve"> </w:t>
      </w:r>
      <w:r>
        <w:t xml:space="preserve">gfet</w:t>
      </w:r>
      <w:r>
        <w:t xml:space="preserve">, the graphene channel is gated</w:t>
      </w:r>
      <w:r>
        <w:t xml:space="preserve"> </w:t>
      </w:r>
      <w:r>
        <w:t xml:space="preserve">electrolytically, and the hybridisation of a target strand to an immobilised probe shifts the transfer</w:t>
      </w:r>
      <w:r>
        <w:t xml:space="preserve"> </w:t>
      </w:r>
      <w:r>
        <w:t xml:space="preserve">characteristic through the added backbone charge. Electrolyte-gated</w:t>
      </w:r>
      <w:r>
        <w:t xml:space="preserve"> </w:t>
      </w:r>
      <w:r>
        <w:t xml:space="preserve">gfet</w:t>
      </w:r>
      <w:r>
        <w:t xml:space="preserve">s functionalised with</w:t>
      </w:r>
      <w:r>
        <w:t xml:space="preserve"> </w:t>
      </w:r>
      <w:r>
        <w:t xml:space="preserve">DNA probes have reached attomolar, label-free detection of hybridisation</w:t>
      </w:r>
      <w:r>
        <w:t xml:space="preserve"> </w:t>
      </w:r>
      <w:r>
        <w:t xml:space="preserve">(Campos et al. 2019)</w:t>
      </w:r>
      <w:r>
        <w:t xml:space="preserve">, back-gated</w:t>
      </w:r>
      <w:r>
        <w:t xml:space="preserve"> </w:t>
      </w:r>
      <w:r>
        <w:t xml:space="preserve">architectures have enabled scalable device production</w:t>
      </w:r>
      <w:r>
        <w:t xml:space="preserve"> </w:t>
      </w:r>
      <w:r>
        <w:t xml:space="preserve">(Ping et al. 2016)</w:t>
      </w:r>
      <w:r>
        <w:t xml:space="preserve">, and microfluidic integration has</w:t>
      </w:r>
      <w:r>
        <w:t xml:space="preserve"> </w:t>
      </w:r>
      <w:r>
        <w:t xml:space="preserve">turned such devices into programmable lab-on-chip DNA sensors</w:t>
      </w:r>
      <w:r>
        <w:t xml:space="preserve"> </w:t>
      </w:r>
      <w:r>
        <w:t xml:space="preserve">(Purwidyantri et al. 2022)</w:t>
      </w:r>
      <w:r>
        <w:t xml:space="preserve">. A key operating</w:t>
      </w:r>
      <w:r>
        <w:t xml:space="preserve"> </w:t>
      </w:r>
      <w:r>
        <w:t xml:space="preserve">constraint is the ionic strength of the medium: high salt concentration produces strong Debye screening</w:t>
      </w:r>
      <w:r>
        <w:t xml:space="preserve"> </w:t>
      </w:r>
      <w:r>
        <w:t xml:space="preserve">that shortens the effective sensing length and attenuates the signal from charges far from the surface</w:t>
      </w:r>
      <w:r>
        <w:t xml:space="preserve"> </w:t>
      </w:r>
      <w:r>
        <w:t xml:space="preserve">(Purwidyantri et al. 2021)</w:t>
      </w:r>
      <w:r>
        <w:t xml:space="preserve">; transduction schemes based on target-induced conformational change of the probe</w:t>
      </w:r>
      <w:r>
        <w:t xml:space="preserve"> </w:t>
      </w:r>
      <w:r>
        <w:t xml:space="preserve">have been shown to mitigate this limitation</w:t>
      </w:r>
      <w:r>
        <w:t xml:space="preserve"> </w:t>
      </w:r>
      <w:r>
        <w:t xml:space="preserve">(</w:t>
      </w:r>
      <w:r>
        <w:t xml:space="preserve">Nakatsuka et al.</w:t>
      </w:r>
      <w:r>
        <w:t xml:space="preserve"> </w:t>
      </w:r>
      <w:r>
        <w:t xml:space="preserve">2018)</w:t>
      </w:r>
      <w:r>
        <w:t xml:space="preserve">. These experimental studies define the</w:t>
      </w:r>
      <w:r>
        <w:t xml:space="preserve"> </w:t>
      </w:r>
      <w:r>
        <w:t xml:space="preserve">device context that the computational design in this dissertation aims to support.</w:t>
      </w:r>
    </w:p>
    <w:bookmarkEnd w:id="61"/>
    <w:bookmarkStart w:id="62" w:name="the-dnagraphene-interfac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The DNA–graphene interface</w:t>
      </w:r>
    </w:p>
    <w:p>
      <w:pPr>
        <w:pStyle w:val="FirstParagraph"/>
      </w:pPr>
      <w:r>
        <w:t xml:space="preserve">The behaviour of a</w:t>
      </w:r>
      <w:r>
        <w:t xml:space="preserve"> </w:t>
      </w:r>
      <w:r>
        <w:t xml:space="preserve">gfet</w:t>
      </w:r>
      <w:r>
        <w:t xml:space="preserve"> </w:t>
      </w:r>
      <w:r>
        <w:t xml:space="preserve">DNA sensor is governed by how DNA interacts with graphene.</w:t>
      </w:r>
      <w:r>
        <w:t xml:space="preserve"> </w:t>
      </w:r>
      <w:r>
        <w:t xml:space="preserve">Single-stranded DNA adsorbs strongly and flat onto graphene through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 of its exposed</w:t>
      </w:r>
      <w:r>
        <w:t xml:space="preserve"> </w:t>
      </w:r>
      <w:r>
        <w:t xml:space="preserve">nucleobases, whereas double-stranded DNA binds much more weakly because base pairing sequesters the</w:t>
      </w:r>
      <w:r>
        <w:t xml:space="preserve"> </w:t>
      </w:r>
      <w:r>
        <w:t xml:space="preserve">bases</w:t>
      </w:r>
      <w:r>
        <w:t xml:space="preserve"> </w:t>
      </w:r>
      <w:r>
        <w:t xml:space="preserve">(Green and Norton 2015; Krishnan et al. 2023)</w:t>
      </w:r>
      <w:r>
        <w:t xml:space="preserve">. This contrast is the basis of many transduction schemes: for</w:t>
      </w:r>
      <w:r>
        <w:t xml:space="preserve"> </w:t>
      </w:r>
      <w:r>
        <w:t xml:space="preserve">example, graphene-oxide</w:t>
      </w:r>
      <w:r>
        <w:t xml:space="preserve"> </w:t>
      </w:r>
      <w:r>
        <w:t xml:space="preserve">fret</w:t>
      </w:r>
      <w:r>
        <w:t xml:space="preserve"> </w:t>
      </w:r>
      <w:r>
        <w:t xml:space="preserve">aptasensors, in which a single-stranded</w:t>
      </w:r>
      <w:r>
        <w:t xml:space="preserve"> </w:t>
      </w:r>
      <w:r>
        <w:t xml:space="preserve">aptamer adsorbed on</w:t>
      </w:r>
      <w:r>
        <w:t xml:space="preserve"> </w:t>
      </w:r>
      <w:r>
        <w:t xml:space="preserve">go</w:t>
      </w:r>
      <w:r>
        <w:t xml:space="preserve"> </w:t>
      </w:r>
      <w:r>
        <w:t xml:space="preserve">is desorbed upon target binding, restoring fluorescence</w:t>
      </w:r>
      <w:r>
        <w:t xml:space="preserve"> </w:t>
      </w:r>
      <w:r>
        <w:t xml:space="preserve">(Lu et al. 2009; Zhu et al. 2015)</w:t>
      </w:r>
      <w:r>
        <w:t xml:space="preserve">.</w:t>
      </w:r>
      <w:r>
        <w:t xml:space="preserve"> </w:t>
      </w:r>
      <w:r>
        <w:t xml:space="preserve">Adsorption can, however, perturb DNA folding and kinetics, which matters especially for structured</w:t>
      </w:r>
      <w:r>
        <w:t xml:space="preserve"> </w:t>
      </w:r>
      <w:r>
        <w:t xml:space="preserve">recognition elements: a useful probe must retain its ability to hybridise its target while still producing a</w:t>
      </w:r>
      <w:r>
        <w:t xml:space="preserve"> </w:t>
      </w:r>
      <w:r>
        <w:t xml:space="preserve">detectable electronic perturbation at the surface</w:t>
      </w:r>
      <w:r>
        <w:t xml:space="preserve"> </w:t>
      </w:r>
      <w:r>
        <w:t xml:space="preserve">(Green and Norton 2015)</w:t>
      </w:r>
      <w:r>
        <w:t xml:space="preserve">.</w:t>
      </w:r>
    </w:p>
    <w:bookmarkEnd w:id="62"/>
    <w:bookmarkStart w:id="63" w:name="Xe201b1aa829a3e9a4835c29390099654fd569d0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Computational design and validation of probe sequences</w:t>
      </w:r>
    </w:p>
    <w:p>
      <w:pPr>
        <w:pStyle w:val="FirstParagraph"/>
      </w:pPr>
      <w:r>
        <w:t xml:space="preserve">Because experimentally screening large numbers of candidate probes is costly and slow, computational</w:t>
      </w:r>
      <w:r>
        <w:t xml:space="preserve"> </w:t>
      </w:r>
      <w:r>
        <w:t xml:space="preserve">methods that link sequence and structure to binding and transduction are increasingly used to design and</w:t>
      </w:r>
      <w:r>
        <w:t xml:space="preserve"> </w:t>
      </w:r>
      <w:r>
        <w:t xml:space="preserve">prioritise candidates</w:t>
      </w:r>
      <w:r>
        <w:t xml:space="preserve"> </w:t>
      </w:r>
      <w:r>
        <w:t xml:space="preserve">(Sun et al. 2022)</w:t>
      </w:r>
      <w:r>
        <w:t xml:space="preserve">. Several families of criteria are well established. The</w:t>
      </w:r>
      <w:r>
        <w:t xml:space="preserve"> </w:t>
      </w:r>
      <w:r>
        <w:t xml:space="preserve">stability of the probe–target duplex is quantified by its melting temperature (</w:t>
      </w:r>
      <w:r>
        <w:t xml:space="preserve">tm</w:t>
      </w:r>
      <w:r>
        <w:t xml:space="preserve">), predicted</w:t>
      </w:r>
      <w:r>
        <w:t xml:space="preserve"> </w:t>
      </w:r>
      <w:r>
        <w:t xml:space="preserve">accurately with the nearest-neighbour thermodynamic model</w:t>
      </w:r>
      <w:r>
        <w:t xml:space="preserve"> </w:t>
      </w:r>
      <w:r>
        <w:t xml:space="preserve">(SantaLucia Jr. and Hicks 2004)</w:t>
      </w:r>
      <w:r>
        <w:t xml:space="preserve">, together with GC</w:t>
      </w:r>
      <w:r>
        <w:t xml:space="preserve"> </w:t>
      </w:r>
      <w:r>
        <w:t xml:space="preserve">content and probe length</w:t>
      </w:r>
      <w:r>
        <w:t xml:space="preserve"> </w:t>
      </w:r>
      <w:r>
        <w:t xml:space="preserve">(Wetmur 1991)</w:t>
      </w:r>
      <w:r>
        <w:t xml:space="preserve">; tools such as</w:t>
      </w:r>
      <w:r>
        <w:t xml:space="preserve"> </w:t>
      </w:r>
      <w:r>
        <w:rPr>
          <w:rStyle w:val="VerbatimChar"/>
        </w:rPr>
        <w:t xml:space="preserve">primer3</w:t>
      </w:r>
      <w:r>
        <w:t xml:space="preserve"> </w:t>
      </w:r>
      <w:r>
        <w:t xml:space="preserve">implement these calculations</w:t>
      </w:r>
      <w:r>
        <w:t xml:space="preserve"> </w:t>
      </w:r>
      <w:r>
        <w:t xml:space="preserve">(Untergasser et al. 2012)</w:t>
      </w:r>
      <w:r>
        <w:t xml:space="preserve">. Self-structure — hairpins, self-dimers and the overall</w:t>
      </w:r>
      <w:r>
        <w:t xml:space="preserve"> </w:t>
      </w:r>
      <w:r>
        <w:t xml:space="preserve">mfe</w:t>
      </w:r>
      <w:r>
        <w:t xml:space="preserve"> </w:t>
      </w:r>
      <w:r>
        <w:t xml:space="preserve">of the single</w:t>
      </w:r>
      <w:r>
        <w:t xml:space="preserve"> </w:t>
      </w:r>
      <w:r>
        <w:t xml:space="preserve">strand — must be minimised, since a folded probe is unavailable for capture; these energies are obtained</w:t>
      </w:r>
      <w:r>
        <w:t xml:space="preserve"> </w:t>
      </w:r>
      <w:r>
        <w:t xml:space="preserve">from nearest-neighbour folding models</w:t>
      </w:r>
      <w:r>
        <w:t xml:space="preserve"> </w:t>
      </w:r>
      <w:r>
        <w:t xml:space="preserve">(Turner and Mathews 2010; Zadeh et al. 2011; Timmons 2020)</w:t>
      </w:r>
      <w:r>
        <w:t xml:space="preserve">. To detect a pathogen across</w:t>
      </w:r>
      <w:r>
        <w:t xml:space="preserve"> </w:t>
      </w:r>
      <w:r>
        <w:t xml:space="preserve">its strains, conserved genomic regions are identified from a</w:t>
      </w:r>
      <w:r>
        <w:t xml:space="preserve"> </w:t>
      </w:r>
      <w:r>
        <w:t xml:space="preserve">msa</w:t>
      </w:r>
      <w:r>
        <w:t xml:space="preserve"> </w:t>
      </w:r>
      <w:r>
        <w:t xml:space="preserve">of many sequences, for which</w:t>
      </w:r>
      <w:r>
        <w:t xml:space="preserve"> </w:t>
      </w:r>
      <w:r>
        <w:t xml:space="preserve">MAFFT is a fast and accurate aligner</w:t>
      </w:r>
      <w:r>
        <w:t xml:space="preserve"> </w:t>
      </w:r>
      <w:r>
        <w:t xml:space="preserve">(Katoh and Standley 2013)</w:t>
      </w:r>
      <w:r>
        <w:t xml:space="preserve">; conservation is then scored per column, for</w:t>
      </w:r>
      <w:r>
        <w:t xml:space="preserve"> </w:t>
      </w:r>
      <w:r>
        <w:t xml:space="preserve">example by the</w:t>
      </w:r>
      <w:r>
        <w:t xml:space="preserve"> </w:t>
      </w:r>
      <w:r>
        <w:t xml:space="preserve">ppi</w:t>
      </w:r>
      <w:r>
        <w:t xml:space="preserve"> </w:t>
      </w:r>
      <w:r>
        <w:t xml:space="preserve">adopted from the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tool</w:t>
      </w:r>
      <w:r>
        <w:t xml:space="preserve"> </w:t>
      </w:r>
      <w:r>
        <w:t xml:space="preserve">(Lima 2023)</w:t>
      </w:r>
      <w:r>
        <w:t xml:space="preserve">.</w:t>
      </w:r>
    </w:p>
    <w:p>
      <w:pPr>
        <w:pStyle w:val="BodyText"/>
      </w:pPr>
      <w:r>
        <w:t xml:space="preserve">Beyond sequence, deep-learning methods now predict three-dimensional structure with high accuracy.</w:t>
      </w:r>
      <w:r>
        <w:t xml:space="preserve"> </w:t>
      </w:r>
      <w:r>
        <w:t xml:space="preserve">AlphaFold achieved near-experimental protein predictions</w:t>
      </w:r>
      <w:r>
        <w:t xml:space="preserve"> </w:t>
      </w:r>
      <w:r>
        <w:t xml:space="preserve">(</w:t>
      </w:r>
      <w:r>
        <w:t xml:space="preserve">Jumper et al.</w:t>
      </w:r>
      <w:r>
        <w:t xml:space="preserve"> </w:t>
      </w:r>
      <w:r>
        <w:t xml:space="preserve">2021)</w:t>
      </w:r>
      <w:r>
        <w:t xml:space="preserve">, and AlphaFold 3 extended</w:t>
      </w:r>
      <w:r>
        <w:t xml:space="preserve"> </w:t>
      </w:r>
      <w:r>
        <w:t xml:space="preserve">this to nucleic-acid-containing complexes with per-residue and pairwise confidence estimates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2024)</w:t>
      </w:r>
      <w:r>
        <w:t xml:space="preserve">; open models such as Boltz-1/2 make these predictions freely runnable on commodity</w:t>
      </w:r>
      <w:r>
        <w:t xml:space="preserve"> </w:t>
      </w:r>
      <w:r>
        <w:t xml:space="preserve">GPUs</w:t>
      </w:r>
      <w:r>
        <w:t xml:space="preserve"> </w:t>
      </w:r>
      <w:r>
        <w:t xml:space="preserve">(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. Although calibrated primarily for proteins, the predicted structure and the</w:t>
      </w:r>
      <w:r>
        <w:t xml:space="preserve"> </w:t>
      </w:r>
      <w:r>
        <w:t xml:space="preserve">associated confidence of a short</w:t>
      </w:r>
      <w:r>
        <w:t xml:space="preserve"> </w:t>
      </w:r>
      <w:r>
        <w:t xml:space="preserve">ssdna</w:t>
      </w:r>
      <w:r>
        <w:t xml:space="preserve"> </w:t>
      </w:r>
      <w:r>
        <w:t xml:space="preserve">probe provide a useful, independent check on a</w:t>
      </w:r>
      <w:r>
        <w:t xml:space="preserve"> </w:t>
      </w:r>
      <w:r>
        <w:t xml:space="preserve">computationally selected sequence.</w:t>
      </w:r>
    </w:p>
    <w:bookmarkEnd w:id="63"/>
    <w:bookmarkStart w:id="64" w:name="summary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Summary</w:t>
      </w:r>
    </w:p>
    <w:p>
      <w:pPr>
        <w:pStyle w:val="FirstParagraph"/>
      </w:pPr>
      <w:r>
        <w:t xml:space="preserve">Graphene</w:t>
      </w:r>
      <w:r>
        <w:t xml:space="preserve"> </w:t>
      </w:r>
      <w:r>
        <w:t xml:space="preserve">gfet</w:t>
      </w:r>
      <w:r>
        <w:t xml:space="preserve"> </w:t>
      </w:r>
      <w:r>
        <w:t xml:space="preserve">devices are an excellent, experimentally proven transducer for label-free DNA</w:t>
      </w:r>
      <w:r>
        <w:t xml:space="preserve"> </w:t>
      </w:r>
      <w:r>
        <w:t xml:space="preserve">detection, but their performance hinges on the recognition sequence. The biophysical criteria for a good</w:t>
      </w:r>
      <w:r>
        <w:t xml:space="preserve"> </w:t>
      </w:r>
      <w:r>
        <w:t xml:space="preserve">probe — conservation, favourable hybridisation thermodynamics and absence of stable self-structure —</w:t>
      </w:r>
      <w:r>
        <w:t xml:space="preserve"> </w:t>
      </w:r>
      <w:r>
        <w:t xml:space="preserve">are individually well understood and supported by mature software, yet they are rarely combined into a</w:t>
      </w:r>
      <w:r>
        <w:t xml:space="preserve"> </w:t>
      </w:r>
      <w:r>
        <w:t xml:space="preserve">single, reproducible and organism-aware pipeline that also ranks the candidates and validates them</w:t>
      </w:r>
      <w:r>
        <w:t xml:space="preserve"> </w:t>
      </w:r>
      <w:r>
        <w:t xml:space="preserve">structurally. The methodology presented in the next chapter is designed to address that gap.</w:t>
      </w:r>
    </w:p>
    <w:bookmarkEnd w:id="64"/>
    <w:bookmarkEnd w:id="65"/>
    <w:bookmarkStart w:id="85" w:name="method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Methods</w:t>
      </w:r>
    </w:p>
    <w:p>
      <w:pPr>
        <w:pStyle w:val="FirstParagraph"/>
      </w:pPr>
      <w:r>
        <w:t xml:space="preserve">The probe-discovery method was implemented as a single, reproducible Python pipeline. Given a target</w:t>
      </w:r>
      <w:r>
        <w:t xml:space="preserve"> </w:t>
      </w:r>
      <w:r>
        <w:t xml:space="preserve">gene, the pipeline proceeds through the stages described below. It is built on Biopython (</w:t>
      </w:r>
      <w:r>
        <w:t xml:space="preserve">ncbi</w:t>
      </w:r>
      <w:r>
        <w:t xml:space="preserve"> </w:t>
      </w:r>
      <w:r>
        <w:t xml:space="preserve">access and sequence handling), an external MAFFT executable (alignment),</w:t>
      </w:r>
      <w:r>
        <w:t xml:space="preserve"> </w:t>
      </w:r>
      <w:r>
        <w:rPr>
          <w:rStyle w:val="VerbatimChar"/>
        </w:rPr>
        <w:t xml:space="preserve">primer3-py</w:t>
      </w:r>
      <w:r>
        <w:t xml:space="preserve"> </w:t>
      </w:r>
      <w:r>
        <w:t xml:space="preserve">(thermodynamics),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(secondary structure) and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(tabular output); the</w:t>
      </w:r>
      <w:r>
        <w:t xml:space="preserve"> </w:t>
      </w:r>
      <w:r>
        <w:t xml:space="preserve">three-dimensional validation is run separately with Boltz-2 on a</w:t>
      </w:r>
      <w:r>
        <w:t xml:space="preserve"> </w:t>
      </w:r>
      <w:r>
        <w:t xml:space="preserve">gpu</w:t>
      </w:r>
      <w:r>
        <w:t xml:space="preserve">. Every design threshold is resolved</w:t>
      </w:r>
      <w:r>
        <w:t xml:space="preserve"> </w:t>
      </w:r>
      <w:r>
        <w:t xml:space="preserve">through a layered scheme that can be overridden per gene, per species and per organism type</w:t>
      </w:r>
      <w:r>
        <w:t xml:space="preserve"> </w:t>
      </w:r>
      <w:r>
        <w:t xml:space="preserve">(Section </w:t>
      </w:r>
      <w:hyperlink w:anchor="sec:params">
        <w:r>
          <w:rPr>
            <w:rStyle w:val="Hyperlink"/>
          </w:rPr>
          <w:t xml:space="preserve">3.8</w:t>
        </w:r>
      </w:hyperlink>
      <w:r>
        <w:t xml:space="preserve">).</w:t>
      </w:r>
    </w:p>
    <w:bookmarkStart w:id="66" w:name="sequence-retrieval-from-ncbi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Sequence retrieval from NCBI</w:t>
      </w:r>
    </w:p>
    <w:p>
      <w:pPr>
        <w:pStyle w:val="FirstParagraph"/>
      </w:pPr>
      <w:r>
        <w:t xml:space="preserve">For each target, sequences are retrieved from the</w:t>
      </w:r>
      <w:r>
        <w:t xml:space="preserve"> </w:t>
      </w:r>
      <w:r>
        <w:t xml:space="preserve">ncbi</w:t>
      </w:r>
      <w:r>
        <w:t xml:space="preserve"> </w:t>
      </w:r>
      <w:r>
        <w:t xml:space="preserve">nucleotide database through the Entrez</w:t>
      </w:r>
      <w:r>
        <w:t xml:space="preserve"> </w:t>
      </w:r>
      <w:r>
        <w:t xml:space="preserve">interface. An</w:t>
      </w:r>
      <w:r>
        <w:t xml:space="preserve"> </w:t>
      </w:r>
      <w:r>
        <w:rPr>
          <w:rStyle w:val="VerbatimChar"/>
        </w:rPr>
        <w:t xml:space="preserve">esearch</w:t>
      </w:r>
      <w:r>
        <w:t xml:space="preserve"> </w:t>
      </w:r>
      <w:r>
        <w:t xml:space="preserve">query returns up to a configurable number of identifiers (set to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this work; justified in Section </w:t>
      </w:r>
      <w:hyperlink w:anchor="sec:diversity">
        <w:r>
          <w:rPr>
            <w:rStyle w:val="Hyperlink"/>
          </w:rPr>
          <w:t xml:space="preserve">3.12</w:t>
        </w:r>
      </w:hyperlink>
      <w:r>
        <w:t xml:space="preserve">), which are then fetched with</w:t>
      </w:r>
      <w:r>
        <w:t xml:space="preserve"> </w:t>
      </w:r>
      <w:r>
        <w:rPr>
          <w:rStyle w:val="VerbatimChar"/>
        </w:rPr>
        <w:t xml:space="preserve">efetch</w:t>
      </w:r>
      <w:r>
        <w:t xml:space="preserve"> </w:t>
      </w:r>
      <w:r>
        <w:t xml:space="preserve">in FASTA</w:t>
      </w:r>
      <w:r>
        <w:t xml:space="preserve"> </w:t>
      </w:r>
      <w:r>
        <w:t xml:space="preserve">format, in batches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identifiers, with short pauses between requests to respect the</w:t>
      </w:r>
      <w:r>
        <w:t xml:space="preserve"> </w:t>
      </w:r>
      <w:r>
        <w:t xml:space="preserve">ncbi</w:t>
      </w:r>
      <w:r>
        <w:t xml:space="preserve"> </w:t>
      </w:r>
      <w:r>
        <w:t xml:space="preserve">rate limit of three requests per second without an API key. Each target defines a primary query combining</w:t>
      </w:r>
      <w:r>
        <w:t xml:space="preserve"> </w:t>
      </w:r>
      <w:r>
        <w:t xml:space="preserve">the gene name, the organism and a sequence-length range; if it returns fewer than two records, the</w:t>
      </w:r>
      <w:r>
        <w:t xml:space="preserve"> </w:t>
      </w:r>
      <w:r>
        <w:t xml:space="preserve">pipeline falls back in turn to one or two broader alternative queries and, failing those, to a fixed RefSeq</w:t>
      </w:r>
      <w:r>
        <w:t xml:space="preserve"> </w:t>
      </w:r>
      <w:r>
        <w:t xml:space="preserve">accession. Records outside a coarse per-gene length range are discarded at this stage. For genes with a</w:t>
      </w:r>
      <w:r>
        <w:t xml:space="preserve"> </w:t>
      </w:r>
      <w:r>
        <w:t xml:space="preserve">single usable record (allowed only for</w:t>
      </w:r>
      <w:r>
        <w:t xml:space="preserve"> </w:t>
      </w:r>
      <w:r>
        <w:rPr>
          <w:i/>
          <w:iCs/>
        </w:rPr>
        <w:t xml:space="preserve">rmpM</w:t>
      </w:r>
      <w:r>
        <w:t xml:space="preserve">), a single-sequence mode is used.</w:t>
      </w:r>
    </w:p>
    <w:bookmarkEnd w:id="66"/>
    <w:bookmarkStart w:id="67" w:name="length-clustering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Length clustering</w:t>
      </w:r>
    </w:p>
    <w:p>
      <w:pPr>
        <w:pStyle w:val="FirstParagraph"/>
      </w:pPr>
      <w:r>
        <w:t xml:space="preserve">Public records mix full-length genes with partial fragments and oversized entries, which together produce</w:t>
      </w:r>
      <w:r>
        <w:t xml:space="preserve"> </w:t>
      </w:r>
      <w:r>
        <w:t xml:space="preserve">gap-ridden alignments. An automatic length-clustering step therefore retains only the dominant length</w:t>
      </w:r>
      <w:r>
        <w:t xml:space="preserve"> </w:t>
      </w:r>
      <w:r>
        <w:t xml:space="preserve">cluster: the sequence length whose</w:t>
      </w:r>
      <w:r>
        <w:t xml:space="preserve"> </w:t>
      </w:r>
      <m:oMath>
        <m:r>
          <m:rPr>
            <m:sty m:val="p"/>
          </m:rPr>
          <m:t>±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band contains the most records is taken as the centre, and</w:t>
      </w:r>
      <w:r>
        <w:t xml:space="preserve"> </w:t>
      </w:r>
      <w:r>
        <w:t xml:space="preserve">only records within that band are kept. The selection is data-driven — no per-gene minimum or maximum</w:t>
      </w:r>
      <w:r>
        <w:t xml:space="preserve"> </w:t>
      </w:r>
      <w:r>
        <w:t xml:space="preserve">length is tuned by hand — so the method transfers to new genes without adjustment. It is applied only</w:t>
      </w:r>
      <w:r>
        <w:t xml:space="preserve"> </w:t>
      </w:r>
      <w:r>
        <w:t xml:space="preserve">when at least four records are available, and a safeguard prevents the set from being reduced below two</w:t>
      </w:r>
      <w:r>
        <w:t xml:space="preserve"> </w:t>
      </w:r>
      <w:r>
        <w:t xml:space="preserve">sequences.</w:t>
      </w:r>
    </w:p>
    <w:bookmarkEnd w:id="67"/>
    <w:bookmarkStart w:id="68" w:name="multiple-sequence-alignmen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Multiple sequence alignment</w:t>
      </w:r>
    </w:p>
    <w:p>
      <w:pPr>
        <w:pStyle w:val="FirstParagraph"/>
      </w:pPr>
      <w:r>
        <w:t xml:space="preserve">The retained sequences are aligned with MAFFT in its automatic mode (</w:t>
      </w:r>
      <w:r>
        <w:rPr>
          <w:rStyle w:val="VerbatimChar"/>
        </w:rPr>
        <w:t xml:space="preserve">--auto</w:t>
      </w:r>
      <w:r>
        <w:t xml:space="preserve">). When only one</w:t>
      </w:r>
      <w:r>
        <w:t xml:space="preserve"> </w:t>
      </w:r>
      <w:r>
        <w:t xml:space="preserve">sequence is available the alignment step is bypassed and that sequence is used directly.</w:t>
      </w:r>
    </w:p>
    <w:bookmarkEnd w:id="68"/>
    <w:bookmarkStart w:id="69" w:name="conservation-scoring-ppi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Conservation scoring (PPI)</w:t>
      </w:r>
    </w:p>
    <w:p>
      <w:pPr>
        <w:pStyle w:val="FirstParagraph"/>
      </w:pPr>
      <w:r>
        <w:t xml:space="preserve">Conservation is scored per alignment column using the</w:t>
      </w:r>
      <w:r>
        <w:t xml:space="preserve"> </w:t>
      </w:r>
      <w:r>
        <w:t xml:space="preserve">ppi</w:t>
      </w:r>
      <w:r>
        <w:t xml:space="preserve">, adopted from the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tool</w:t>
      </w:r>
      <w:r>
        <w:t xml:space="preserve"> </w:t>
      </w:r>
      <w:r>
        <w:t xml:space="preserve">(Lima 2023)</w:t>
      </w:r>
      <w:r>
        <w:t xml:space="preserve">. For a column, the</w:t>
      </w:r>
      <w:r>
        <w:t xml:space="preserve"> </w:t>
      </w:r>
      <w:r>
        <w:t xml:space="preserve">ppi</w:t>
      </w:r>
      <w:r>
        <w:t xml:space="preserve"> </w:t>
      </w:r>
      <w:r>
        <w:t xml:space="preserve">is the average identity over all pairs of</w:t>
      </w:r>
      <w:r>
        <w:t xml:space="preserve"> </w:t>
      </w:r>
      <w:r>
        <w:t xml:space="preserve">non-gap bases, computed from the base counts; pairs of ambiguous</w:t>
      </w:r>
      <w:r>
        <w:t xml:space="preserve"> </w:t>
      </w:r>
      <w:r>
        <w:t xml:space="preserve">iupac</w:t>
      </w:r>
      <w:r>
        <w:t xml:space="preserve"> </w:t>
      </w:r>
      <w:r>
        <w:t xml:space="preserve">bases contribute a partial weight</w:t>
      </w:r>
      <w:r>
        <w:t xml:space="preserve"> </w:t>
      </w:r>
      <w:r>
        <w:t xml:space="preserve">(for example a purine code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scores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scores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against any base).</w:t>
      </w:r>
      <w:r>
        <w:t xml:space="preserve"> </w:t>
      </w:r>
      <w:r>
        <w:t xml:space="preserve">Columns in which fewer than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sequences have a non-gap base are assigned zero, and only</w:t>
      </w:r>
      <w:r>
        <w:t xml:space="preserve"> </w:t>
      </w:r>
      <w:r>
        <w:t xml:space="preserve">columns with at least two non-gap bases are counted. Because the per-column</w:t>
      </w:r>
      <w:r>
        <w:t xml:space="preserve"> </w:t>
      </w:r>
      <w:r>
        <w:t xml:space="preserve">ppi</w:t>
      </w:r>
      <w:r>
        <w:t xml:space="preserve"> </w:t>
      </w:r>
      <w:r>
        <w:t xml:space="preserve">is independent</w:t>
      </w:r>
      <w:r>
        <w:t xml:space="preserve"> </w:t>
      </w:r>
      <w:r>
        <w:t xml:space="preserve">of the window, it is pre-computed once per alignment, which is essential for hundreds of sequences. The</w:t>
      </w:r>
      <w:r>
        <w:t xml:space="preserve"> </w:t>
      </w:r>
      <w:r>
        <w:t xml:space="preserve">conservation of a candidate window is the mean of the</w:t>
      </w:r>
      <w:r>
        <w:t xml:space="preserve"> </w:t>
      </w:r>
      <w:r>
        <w:t xml:space="preserve">ppi</w:t>
      </w:r>
      <w:r>
        <w:t xml:space="preserve"> </w:t>
      </w:r>
      <w:r>
        <w:t xml:space="preserve">of its valid columns. In contrast to</w:t>
      </w:r>
      <w:r>
        <w:t xml:space="preserve"> </w:t>
      </w:r>
      <w:r>
        <w:t xml:space="preserve">primer design, the identity of the terminal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nucleotides (scored separately as PPI3 in the original</w:t>
      </w:r>
      <w:r>
        <w:t xml:space="preserve"> </w:t>
      </w:r>
      <w:r>
        <w:t xml:space="preserve">tool) is deliberately excluded, because capture probes are not extended by a polymerase and so the fidelity</w:t>
      </w:r>
      <w:r>
        <w:t xml:space="preserve"> </w:t>
      </w:r>
      <w:r>
        <w:t xml:space="preserve">of their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is irrelevant.</w:t>
      </w:r>
    </w:p>
    <w:bookmarkEnd w:id="69"/>
    <w:bookmarkStart w:id="70" w:name="candidate-gener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Candidate generation</w:t>
      </w:r>
    </w:p>
    <w:p>
      <w:pPr>
        <w:pStyle w:val="FirstParagraph"/>
      </w:pPr>
      <w:r>
        <w:t xml:space="preserve">Candidate probes are generated by sliding a window over the alignment. For each start position, taken every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columns, windows of every length from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nucleotides are formed. A window is discarded if</w:t>
      </w:r>
      <w:r>
        <w:t xml:space="preserve"> </w:t>
      </w:r>
      <w:r>
        <w:t xml:space="preserve">any of its columns has a gap fraction above the allowed maximum (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by default), or if its mean</w:t>
      </w:r>
      <w:r>
        <w:t xml:space="preserve"> </w:t>
      </w:r>
      <w:r>
        <w:t xml:space="preserve">conservation is below the target’s conservation threshold. The sequence of a surviving window is the</w:t>
      </w:r>
      <w:r>
        <w:t xml:space="preserve"> </w:t>
      </w:r>
      <w:r>
        <w:t xml:space="preserve">per-column consensus (the most frequent non-gap base).</w:t>
      </w:r>
    </w:p>
    <w:bookmarkEnd w:id="70"/>
    <w:bookmarkStart w:id="72" w:name="thermodynamic-screening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Thermodynamic screening</w:t>
      </w:r>
    </w:p>
    <w:p>
      <w:pPr>
        <w:pStyle w:val="FirstParagraph"/>
      </w:pPr>
      <w:r>
        <w:t xml:space="preserve">Each candidate is scored with</w:t>
      </w:r>
      <w:r>
        <w:t xml:space="preserve"> </w:t>
      </w:r>
      <w:r>
        <w:rPr>
          <w:rStyle w:val="VerbatimChar"/>
        </w:rPr>
        <w:t xml:space="preserve">primer3-py</w:t>
      </w:r>
      <w:r>
        <w:t xml:space="preserve"> </w:t>
      </w:r>
      <w:r>
        <w:t xml:space="preserve">under fixed conditions: a monovalent cation concentration</w:t>
      </w:r>
      <w:r>
        <w:t xml:space="preserve"> </w:t>
      </w:r>
      <w:r>
        <w:t xml:space="preserve">of</w:t>
      </w:r>
      <w:r>
        <w:t xml:space="preserve"> </w:t>
      </w:r>
      <m:oMath>
        <m:r>
          <m:t>50</m:t>
        </m:r>
      </m:oMath>
      <w:r>
        <w:t xml:space="preserve"> mM, no divalent cations or dNTPs, an oligonucleotide concentration of</w:t>
      </w:r>
      <w:r>
        <w:t xml:space="preserve"> </w:t>
      </w:r>
      <m:oMath>
        <m:r>
          <m:t>250</m:t>
        </m:r>
      </m:oMath>
      <w:r>
        <w:t xml:space="preserve"> nM and a reference</w:t>
      </w:r>
      <w:r>
        <w:t xml:space="preserve"> </w:t>
      </w:r>
      <w:r>
        <w:t xml:space="preserve">temperature of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Four quantities are computed: the melting temperature</w:t>
      </w:r>
      <w:r>
        <w:t xml:space="preserve"> </w:t>
      </w:r>
      <w:r>
        <w:t xml:space="preserve">tm</w:t>
      </w:r>
      <w:r>
        <w:t xml:space="preserve"> </w:t>
      </w:r>
      <w:r>
        <w:t xml:space="preserve">(</w:t>
      </w:r>
      <w:r>
        <w:t xml:space="preserve">nn</w:t>
      </w:r>
      <w:r>
        <w:t xml:space="preserve"> </w:t>
      </w:r>
      <w:r>
        <w:t xml:space="preserve">model</w:t>
      </w:r>
      <w:r>
        <w:t xml:space="preserve"> </w:t>
      </w:r>
      <w:r>
        <w:t xml:space="preserve">(SantaLucia Jr. and Hicks 2004)</w:t>
      </w:r>
      <w:r>
        <w:t xml:space="preserve">), the GC content (the fraction of G and C bases), the</w:t>
      </w:r>
      <w:r>
        <w:t xml:space="preserve"> </w:t>
      </w:r>
      <w:r>
        <w:t xml:space="preserve">hairpin free energy and the homodimer (self-dimer) free energy, the last two reported in kcal/mol and only</w:t>
      </w:r>
      <w:r>
        <w:t xml:space="preserve"> </w:t>
      </w:r>
      <w:r>
        <w:t xml:space="preserve">when a structure is found. A candidate passes the basic screen when its</w:t>
      </w:r>
      <w:r>
        <w:t xml:space="preserve"> </w:t>
      </w:r>
      <w:r>
        <w:t xml:space="preserve">tm</w:t>
      </w:r>
      <w:r>
        <w:t xml:space="preserve"> </w:t>
      </w:r>
      <w:r>
        <w:t xml:space="preserve">and GC content fall</w:t>
      </w:r>
      <w:r>
        <w:t xml:space="preserve"> </w:t>
      </w:r>
      <w:r>
        <w:t xml:space="preserve">within the resolved windows and its hairpin and homodimer free energies are no more negative than their</w:t>
      </w:r>
      <w:r>
        <w:t xml:space="preserve"> </w:t>
      </w:r>
      <w:r>
        <w:t xml:space="preserve">respective limits (Table </w:t>
      </w:r>
      <w:hyperlink w:anchor="tab:params">
        <w:r>
          <w:rPr>
            <w:rStyle w:val="Hyperlink"/>
          </w:rPr>
          <w:t xml:space="preserve">3.1</w:t>
        </w:r>
      </w:hyperlink>
      <w:r>
        <w:t xml:space="preserve">). The</w:t>
      </w:r>
      <w:r>
        <w:t xml:space="preserve"> </w:t>
      </w:r>
      <w:r>
        <w:t xml:space="preserve">tm</w:t>
      </w:r>
      <w:r>
        <w:t xml:space="preserve"> </w:t>
      </w:r>
      <w:r>
        <w:t xml:space="preserve">window may optionally be derived from the</w:t>
      </w:r>
      <w:r>
        <w:t xml:space="preserve"> </w:t>
      </w:r>
      <w:r>
        <w:t xml:space="preserve">hybridisation assay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,</m:t>
        </m:r>
        <m:r>
          <m:t> </m:t>
        </m:r>
        <m:r>
          <m:t>T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]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</w:t>
      </w:r>
    </w:p>
    <w:bookmarkStart w:id="71" w:name="tab:params"/>
    <w:p>
      <w:pPr>
        <w:pStyle w:val="TableCaption"/>
      </w:pPr>
      <w:r>
        <w:t xml:space="preserve">Global default thresholds. Values are overridden per organism type, species or gene where</w:t>
      </w:r>
      <w:r>
        <w:t xml:space="preserve"> </w:t>
      </w:r>
      <w:r>
        <w:t xml:space="preserve">justified (Section </w:t>
      </w:r>
      <w:hyperlink w:anchor="sec:params">
        <w:r>
          <w:rPr>
            <w:rStyle w:val="Hyperlink"/>
          </w:rPr>
          <w:t xml:space="preserve">3.8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bal default thresholds. Values are overridden per organism type, species or gene where justified (Section 3.8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18–28 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Wetmur (1991)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Melting temperature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53–72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SantaLucia Jr. and Hicks (2004)</w:t>
            </w:r>
            <w:r>
              <w:t xml:space="preserve">; assay-derivable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IDT OligoAnalyzer</w:t>
            </w:r>
            <w:r>
              <w:t xml:space="preserve"> </w:t>
            </w:r>
            <w:r>
              <w:t xml:space="preserve">(Integrated DNA Technologies, n.d.)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Hairpin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DNA Technologies (n.d.)</w:t>
            </w:r>
            <w:r>
              <w:t xml:space="preserve">; primer3</w:t>
            </w:r>
            <w:r>
              <w:t xml:space="preserve"> </w:t>
            </w:r>
            <w:r>
              <w:t xml:space="preserve">(Untergasser et al. 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Homodimer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5.0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IDT OligoAnalyzer</w:t>
            </w:r>
            <w:r>
              <w:t xml:space="preserve"> </w:t>
            </w:r>
            <w:r>
              <w:t xml:space="preserve">(Integrated DNA Technologies, n.d.)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(</w:t>
            </w:r>
            <w:r>
              <w:t xml:space="preserve">ppi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pan-strain detection</w:t>
            </w:r>
            <w:r>
              <w:t xml:space="preserve"> </w:t>
            </w:r>
            <w:r>
              <w:t xml:space="preserve">(Lima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 gap fraction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20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alignment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 structure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MFE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2.6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5th percentile of the data</w:t>
            </w:r>
          </w:p>
        </w:tc>
      </w:tr>
    </w:tbl>
    <w:bookmarkEnd w:id="71"/>
    <w:bookmarkEnd w:id="72"/>
    <w:bookmarkStart w:id="77" w:name="Xdd801350e5db1da084186aee06dd76b1f26d6b3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Secondary structure and the No-fold score</w:t>
      </w:r>
    </w:p>
    <w:p>
      <w:pPr>
        <w:pStyle w:val="FirstParagraph"/>
      </w:pPr>
      <w:r>
        <w:t xml:space="preserve">The single-strand secondary structure of each candidate that passed the basic screen is computed with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, which returns the</w:t>
      </w:r>
      <w:r>
        <w:t xml:space="preserve"> </w:t>
      </w:r>
      <w:r>
        <w:t xml:space="preserve">mfe</w:t>
      </w:r>
      <w:r>
        <w:t xml:space="preserve"> </w:t>
      </w:r>
      <w:r>
        <w:t xml:space="preserve">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and the fraction of paired bases. A</w:t>
      </w:r>
      <w:r>
        <w:t xml:space="preserve"> </w:t>
      </w:r>
      <w:r>
        <w:t xml:space="preserve">candidate passes the secondary-structure screen when its</w:t>
      </w:r>
      <w:r>
        <w:t xml:space="preserve"> </w:t>
      </w:r>
      <w:r>
        <w:t xml:space="preserve">mfe</w:t>
      </w:r>
      <w:r>
        <w:t xml:space="preserve"> </w:t>
      </w:r>
      <w:r>
        <w:t xml:space="preserve">is no more negative than</w:t>
      </w:r>
      <w:r>
        <w:t xml:space="preserve"> </w:t>
      </w:r>
      <m:oMath>
        <m:r>
          <m:rPr>
            <m:sty m:val="p"/>
          </m:rPr>
          <m:t>−</m:t>
        </m:r>
        <m:r>
          <m:t>2.6</m:t>
        </m:r>
      </m:oMath>
      <w:r>
        <w:t xml:space="preserve"> kcal/mol; this value is the fifth percentile of the observed</w:t>
      </w:r>
      <w:r>
        <w:t xml:space="preserve"> </w:t>
      </w:r>
      <w:r>
        <w:t xml:space="preserve">mfe</w:t>
      </w:r>
      <w:r>
        <w:t xml:space="preserve"> </w:t>
      </w:r>
      <w:r>
        <w:t xml:space="preserve">distribution</w:t>
      </w:r>
      <w:r>
        <w:t xml:space="preserve"> </w:t>
      </w:r>
      <w:r>
        <w:t xml:space="preserve">(Figure </w:t>
      </w:r>
      <w:hyperlink w:anchor="fig:seqfold">
        <w:r>
          <w:rPr>
            <w:rStyle w:val="Hyperlink"/>
          </w:rPr>
          <w:t xml:space="preserve">3.1</w:t>
        </w:r>
      </w:hyperlink>
      <w:r>
        <w:t xml:space="preserve">), and fixing it keeps the criterion reproducible across runs rather than always</w:t>
      </w:r>
      <w:r>
        <w:t xml:space="preserve"> </w:t>
      </w:r>
      <w:r>
        <w:t xml:space="preserve">cutting a fixed fraction of the data.</w:t>
      </w:r>
    </w:p>
    <w:bookmarkStart w:id="76" w:name="fig:seqfol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130683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s/seqfold_his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06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Distribution of the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secondary-structure free energy (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MFE</m:t>
            </m:r>
          </m:sub>
        </m:sSub>
      </m:oMath>
      <w:r>
        <w:t xml:space="preserve">)</w:t>
      </w:r>
      <w:r>
        <w:t xml:space="preserve"> </w:t>
      </w:r>
      <w:r>
        <w:t xml:space="preserve">over the candidate probes, from which the</w:t>
      </w:r>
      <w:r>
        <w:t xml:space="preserve"> </w:t>
      </w:r>
      <m:oMath>
        <m:r>
          <m:rPr>
            <m:sty m:val="p"/>
          </m:rPr>
          <m:t>−</m:t>
        </m:r>
        <m:r>
          <m:t>2.6</m:t>
        </m:r>
      </m:oMath>
      <w:r>
        <w:t xml:space="preserve"> kcal/mol threshold (fifth percentile) is taken.</w:t>
      </w:r>
    </w:p>
    <w:bookmarkEnd w:id="76"/>
    <w:p>
      <w:pPr>
        <w:pStyle w:val="BodyText"/>
      </w:pPr>
      <w:r>
        <w:t xml:space="preserve">In addition to this pass/fail screen, the three folding energies (hairpin, homodimer and</w:t>
      </w:r>
      <w:r>
        <w:t xml:space="preserve"> </w:t>
      </w:r>
      <w:r>
        <w:t xml:space="preserve">mfe</w:t>
      </w:r>
      <w:r>
        <w:t xml:space="preserve">)</w:t>
      </w:r>
      <w:r>
        <w:t xml:space="preserve"> </w:t>
      </w:r>
      <w:r>
        <w:t xml:space="preserve">are combined into a continuous</w:t>
      </w:r>
      <w:r>
        <w:t xml:space="preserve"> </w:t>
      </w:r>
      <w:r>
        <w:rPr>
          <w:i/>
          <w:iCs/>
        </w:rPr>
        <w:t xml:space="preserve">No-fold</w:t>
      </w:r>
      <w:r>
        <w:t xml:space="preserve"> </w:t>
      </w:r>
      <w:r>
        <w:t xml:space="preserve">score in the range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100</m:t>
        </m:r>
      </m:oMath>
      <w:r>
        <w:t xml:space="preserve">, following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(Lima 2023)</w:t>
      </w:r>
      <w:r>
        <w:t xml:space="preserve">. Each energy is mapped through a logistic penalty,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No-fold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cal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t>s</m:t>
              </m:r>
              <m:r>
                <m:t> </m:t>
              </m:r>
              <m:r>
                <m:t>R</m:t>
              </m:r>
              <m:r>
                <m:t> </m:t>
              </m:r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7000</m:t>
        </m:r>
      </m:oMath>
      <w:r>
        <w:t xml:space="preserve"> cal/mol, slope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1.987</m:t>
        </m:r>
      </m:oMath>
      <w:r>
        <w:t xml:space="preserve"> cal mol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K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310</m:t>
        </m:r>
      </m:oMath>
      <w:r>
        <w:t xml:space="preserve"> K; the</w:t>
      </w:r>
      <w:r>
        <w:t xml:space="preserve"> </w:t>
      </w:r>
      <w:r>
        <w:t xml:space="preserve">per-probe No-fold score is the mean of the scores of the energies that are available. A high No-fold score</w:t>
      </w:r>
      <w:r>
        <w:t xml:space="preserve"> </w:t>
      </w:r>
      <w:r>
        <w:t xml:space="preserve">denotes a probe that is largely free of stable self-structure. This continuous score is used, together</w:t>
      </w:r>
      <w:r>
        <w:t xml:space="preserve"> </w:t>
      </w:r>
      <w:r>
        <w:t xml:space="preserve">with conservation, to rank the candidates rather than merely to filter them.</w:t>
      </w:r>
    </w:p>
    <w:bookmarkEnd w:id="77"/>
    <w:bookmarkStart w:id="79" w:name="sec:param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Organism-aware parameters</w:t>
      </w:r>
    </w:p>
    <w:p>
      <w:pPr>
        <w:pStyle w:val="FirstParagraph"/>
      </w:pPr>
      <w:r>
        <w:t xml:space="preserve">Because the intended application spans pathogens with very different genomes, a single global set of</w:t>
      </w:r>
      <w:r>
        <w:t xml:space="preserve"> </w:t>
      </w:r>
      <w:r>
        <w:t xml:space="preserve">thresholds is inadequate: criteria appropriate for a balanced bacterial genome would unfairly reject an</w:t>
      </w:r>
      <w:r>
        <w:t xml:space="preserve"> </w:t>
      </w:r>
      <w:r>
        <w:t xml:space="preserve">AT-rich or a GC-rich target. All thresholds are therefore resolved from the most specific layer to the most</w:t>
      </w:r>
      <w:r>
        <w:t xml:space="preserve"> </w:t>
      </w:r>
      <w:r>
        <w:t xml:space="preserve">general,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gene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species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organism type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global default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first layer that defines a parameter wins. Five organism types are distinguished, differing</w:t>
      </w:r>
      <w:r>
        <w:t xml:space="preserve"> </w:t>
      </w:r>
      <w:r>
        <w:t xml:space="preserve">mainly in genome GC content and in variability (Table </w:t>
      </w:r>
      <w:hyperlink w:anchor="tab:types">
        <w:r>
          <w:rPr>
            <w:rStyle w:val="Hyperlink"/>
          </w:rPr>
          <w:t xml:space="preserve">3.2</w:t>
        </w:r>
      </w:hyperlink>
      <w:r>
        <w:t xml:space="preserve">); species-level profiles then</w:t>
      </w:r>
      <w:r>
        <w:t xml:space="preserve"> </w:t>
      </w:r>
      <w:r>
        <w:t xml:space="preserve">fine-tune the values by the GC content of each genome (for example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67% GC</w:t>
      </w:r>
      <w:r>
        <w:t xml:space="preserve"> </w:t>
      </w:r>
      <w:r>
        <w:t xml:space="preserve">(</w:t>
      </w:r>
      <w:r>
        <w:t xml:space="preserve">Stover et al.</w:t>
      </w:r>
      <w:r>
        <w:t xml:space="preserve"> </w:t>
      </w:r>
      <w:r>
        <w:t xml:space="preserve">2000)</w:t>
      </w:r>
      <w:r>
        <w:t xml:space="preserve">,</w:t>
      </w:r>
      <w:r>
        <w:t xml:space="preserve"> </w:t>
      </w:r>
      <w:r>
        <w:rPr>
          <w:i/>
          <w:iCs/>
        </w:rPr>
        <w:t xml:space="preserve">A. fumigatus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50% GC</w:t>
      </w:r>
      <w:r>
        <w:t xml:space="preserve"> </w:t>
      </w:r>
      <w:r>
        <w:t xml:space="preserve">(</w:t>
      </w:r>
      <w:r>
        <w:t xml:space="preserve">Nierman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and the AT-rich</w:t>
      </w:r>
      <w:r>
        <w:t xml:space="preserve"> </w:t>
      </w:r>
      <w:r>
        <w:rPr>
          <w:i/>
          <w:iCs/>
        </w:rPr>
        <w:t xml:space="preserve">P. falciparum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19% GC</w:t>
      </w:r>
      <w:r>
        <w:t xml:space="preserve"> </w:t>
      </w:r>
      <w:r>
        <w:t xml:space="preserve">(</w:t>
      </w:r>
      <w:r>
        <w:t xml:space="preserve">Gardner et al.</w:t>
      </w:r>
      <w:r>
        <w:t xml:space="preserve"> </w:t>
      </w:r>
      <w:r>
        <w:t xml:space="preserve">2002)</w:t>
      </w:r>
      <w:r>
        <w:t xml:space="preserve">).</w:t>
      </w:r>
    </w:p>
    <w:bookmarkStart w:id="78" w:name="tab:types"/>
    <w:p>
      <w:pPr>
        <w:pStyle w:val="TableCaption"/>
      </w:pPr>
      <w:r>
        <w:t xml:space="preserve">Per-type parameter profiles. Viruses use a wider GC window and a more permissive conservation</w:t>
      </w:r>
      <w:r>
        <w:t xml:space="preserve"> </w:t>
      </w:r>
      <w:r>
        <w:t xml:space="preserve">threshold; the protozoan profile is AT-shifted.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type parameter profiles. Viruses use a wider GC window and a more permissive conservation threshold; the protozoan profile is AT-shift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Organism 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 window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Conservation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35–68%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Fungus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Protozoan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15–40%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(human)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78"/>
    <w:p>
      <w:pPr>
        <w:pStyle w:val="BodyText"/>
      </w:pPr>
      <w:r>
        <w:t xml:space="preserve">When the pipeline encounters an organism for which no profile exists and is run interactively, it prompts</w:t>
      </w:r>
      <w:r>
        <w:t xml:space="preserve"> </w:t>
      </w:r>
      <w:r>
        <w:t xml:space="preserve">the user for the organism type and for each threshold, proposing a suggested value that can be accepted or</w:t>
      </w:r>
      <w:r>
        <w:t xml:space="preserve"> </w:t>
      </w:r>
      <w:r>
        <w:t xml:space="preserve">overridden; the resulting profile is stored and reused in later runs. When run non-interactively, it applies</w:t>
      </w:r>
      <w:r>
        <w:t xml:space="preserve"> </w:t>
      </w:r>
      <w:r>
        <w:t xml:space="preserve">the suggested values without prompting.</w:t>
      </w:r>
    </w:p>
    <w:bookmarkEnd w:id="79"/>
    <w:bookmarkStart w:id="80" w:name="quality-based-selection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Quality-based selection</w:t>
      </w:r>
    </w:p>
    <w:p>
      <w:pPr>
        <w:pStyle w:val="FirstParagraph"/>
      </w:pPr>
      <w:r>
        <w:t xml:space="preserve">Because three-dimensional prediction is comparatively expensive, only the best candidates per gene are</w:t>
      </w:r>
      <w:r>
        <w:t xml:space="preserve"> </w:t>
      </w:r>
      <w:r>
        <w:t xml:space="preserve">carried forward. Rather than ranking by melting temperature — which the thermodynamic screen has already</w:t>
      </w:r>
      <w:r>
        <w:t xml:space="preserve"> </w:t>
      </w:r>
      <w:r>
        <w:t xml:space="preserve">bounded — the surviving candidates are ranked by a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score that averages the two signals most</w:t>
      </w:r>
      <w:r>
        <w:t xml:space="preserve"> </w:t>
      </w:r>
      <w:r>
        <w:t xml:space="preserve">indicative of sequence quality:</w:t>
      </w:r>
    </w:p>
    <w:p>
      <w:pPr>
        <w:pStyle w:val="BodyText"/>
      </w:pPr>
      <w:r>
        <w:t xml:space="preserve">$$\text{quality} \;=\; \tfrac{1}{2}\left(\text{\acrshort{ppi}} + \tfrac{\text{No-fold}}{100}\right).$$</w:t>
      </w:r>
    </w:p>
    <w:p>
      <w:pPr>
        <w:pStyle w:val="FirstParagraph"/>
      </w:pPr>
      <w:r>
        <w:t xml:space="preserve">The top-ranked candidates of each gene are exported for 3D validation, and the same ranking is used to</w:t>
      </w:r>
      <w:r>
        <w:t xml:space="preserve"> </w:t>
      </w:r>
      <w:r>
        <w:t xml:space="preserve">export larger curated sets (for example the top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per gene) together with their sequence-level features.</w:t>
      </w:r>
    </w:p>
    <w:bookmarkEnd w:id="80"/>
    <w:bookmarkStart w:id="81" w:name="three-dimensional-validation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Three-dimensional validation</w:t>
      </w:r>
    </w:p>
    <w:p>
      <w:pPr>
        <w:pStyle w:val="FirstParagraph"/>
      </w:pPr>
      <w:r>
        <w:t xml:space="preserve">The selected probes are written one per file in the native Boltz-2 input format and submitted to Boltz-2</w:t>
      </w:r>
      <w:r>
        <w:t xml:space="preserve"> </w:t>
      </w:r>
      <w:r>
        <w:t xml:space="preserve">(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, run on a</w:t>
      </w:r>
      <w:r>
        <w:t xml:space="preserve"> </w:t>
      </w:r>
      <w:r>
        <w:t xml:space="preserve">gpu</w:t>
      </w:r>
      <w:r>
        <w:t xml:space="preserve">, which predicts the three-dimensional structure of each single-stranded</w:t>
      </w:r>
      <w:r>
        <w:t xml:space="preserve"> </w:t>
      </w:r>
      <w:r>
        <w:t xml:space="preserve">sequence together with confidence estimates: an overall confidence, the</w:t>
      </w:r>
      <w:r>
        <w:t xml:space="preserve"> </w:t>
      </w:r>
      <w:r>
        <w:t xml:space="preserve">plddt</w:t>
      </w:r>
      <w:r>
        <w:t xml:space="preserve"> </w:t>
      </w:r>
      <w:r>
        <w:t xml:space="preserve">and the</w:t>
      </w:r>
      <w:r>
        <w:t xml:space="preserve"> </w:t>
      </w:r>
      <w:r>
        <w:t xml:space="preserve">pae</w:t>
      </w:r>
      <w:r>
        <w:t xml:space="preserve"> </w:t>
      </w:r>
      <w:r>
        <w:t xml:space="preserve">matrix, in the style of AlphaFold 3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2024)</w:t>
      </w:r>
      <w:r>
        <w:t xml:space="preserve">. As these confidence metrics are calibrated</w:t>
      </w:r>
      <w:r>
        <w:t xml:space="preserve"> </w:t>
      </w:r>
      <w:r>
        <w:t xml:space="preserve">primarily for proteins, the overall confidence and the</w:t>
      </w:r>
      <w:r>
        <w:t xml:space="preserve"> </w:t>
      </w:r>
      <w:r>
        <w:t xml:space="preserve">plddt</w:t>
      </w:r>
      <w:r>
        <w:t xml:space="preserve"> </w:t>
      </w:r>
      <w:r>
        <w:t xml:space="preserve">are used here as relative,</w:t>
      </w:r>
      <w:r>
        <w:t xml:space="preserve"> </w:t>
      </w:r>
      <w:r>
        <w:t xml:space="preserve">independent indicators of the structural soundness of the short probes. The predictions are merged with the</w:t>
      </w:r>
      <w:r>
        <w:t xml:space="preserve"> </w:t>
      </w:r>
      <w:r>
        <w:t xml:space="preserve">sequence metadata to produce a final ranked shortlist combining sequence quality (conservation and No-fold)</w:t>
      </w:r>
      <w:r>
        <w:t xml:space="preserve"> </w:t>
      </w:r>
      <w:r>
        <w:t xml:space="preserve">with the 3D confidence.</w:t>
      </w:r>
    </w:p>
    <w:bookmarkEnd w:id="81"/>
    <w:bookmarkStart w:id="82" w:name="integration-of-a-reference-probe-panel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Integration of a reference probe panel</w:t>
      </w:r>
    </w:p>
    <w:p>
      <w:pPr>
        <w:pStyle w:val="FirstParagraph"/>
      </w:pPr>
      <w:r>
        <w:t xml:space="preserve">An existing experimental probe panel was integrated into the same workflow for comparison. Each reference</w:t>
      </w:r>
      <w:r>
        <w:t xml:space="preserve"> </w:t>
      </w:r>
      <w:r>
        <w:t xml:space="preserve">probe, supplied as a (</w:t>
      </w:r>
      <w:r>
        <w:rPr>
          <w:rStyle w:val="VerbatimChar"/>
        </w:rPr>
        <w:t xml:space="preserve">job_name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) record, is cleaned (uracil</w:t>
      </w:r>
      <w:r>
        <w:t xml:space="preserve"> </w:t>
      </w:r>
      <w:r>
        <w:t xml:space="preserve">converted to thymine, non-ACGT characters removed) and scored with exactly the same metrics as the designed</w:t>
      </w:r>
      <w:r>
        <w:t xml:space="preserve"> </w:t>
      </w:r>
      <w:r>
        <w:t xml:space="preserve">probes, but by the thresholds of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species and type. Conservation is left empty for these</w:t>
      </w:r>
      <w:r>
        <w:t xml:space="preserve"> </w:t>
      </w:r>
      <w:r>
        <w:t xml:space="preserve">probes, because it is only definable for probes derived from an alignment. The reference probes are stored</w:t>
      </w:r>
      <w:r>
        <w:t xml:space="preserve"> </w:t>
      </w:r>
      <w:r>
        <w:t xml:space="preserve">alongside the designed ones, with a source label, so that the two sets appear side by side with identical</w:t>
      </w:r>
      <w:r>
        <w:t xml:space="preserve"> </w:t>
      </w:r>
      <w:r>
        <w:t xml:space="preserve">columns.</w:t>
      </w:r>
    </w:p>
    <w:bookmarkEnd w:id="82"/>
    <w:bookmarkStart w:id="83" w:name="sec:diversity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Diversity and rarefaction analysis</w:t>
      </w:r>
    </w:p>
    <w:p>
      <w:pPr>
        <w:pStyle w:val="FirstParagraph"/>
      </w:pPr>
      <w:r>
        <w:t xml:space="preserve">To characterise each target and to justify the sampling depth, an alignment-free analysis based on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composition is performed on the retrieved sequences. Each sequence is represented by its vector of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frequencies, and pairwise cosine distances (on the frequency vectors) and Jaccard distances (on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presence/absence) are computed, together with the fraction of unique sequences, which detects exact</w:t>
      </w:r>
      <w:r>
        <w:t xml:space="preserve"> </w:t>
      </w:r>
      <w:r>
        <w:t xml:space="preserve">duplicates. A rarefaction analysis subsamples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sequences per gene and measures the mean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diversity and the richness (number of distinct</w:t>
      </w:r>
      <w:r>
        <w:t xml:space="preserve"> </w:t>
      </w:r>
      <m:oMath>
        <m:r>
          <m:t>4</m:t>
        </m:r>
      </m:oMath>
      <w:r>
        <w:t xml:space="preserve">-mers), to determine the 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beyond which little</w:t>
      </w:r>
      <w:r>
        <w:t xml:space="preserve"> </w:t>
      </w:r>
      <w:r>
        <w:t xml:space="preserve">new information is gained.</w:t>
      </w:r>
    </w:p>
    <w:bookmarkEnd w:id="83"/>
    <w:bookmarkStart w:id="84" w:name="implementation-and-reproducibility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Implementation and reproducibility</w:t>
      </w:r>
    </w:p>
    <w:p>
      <w:pPr>
        <w:pStyle w:val="FirstParagraph"/>
      </w:pPr>
      <w:r>
        <w:t xml:space="preserve">All intermediate and final results are written as CSV files. Because</w:t>
      </w:r>
      <w:r>
        <w:t xml:space="preserve"> </w:t>
      </w:r>
      <w:r>
        <w:t xml:space="preserve">ncbi</w:t>
      </w:r>
      <w:r>
        <w:t xml:space="preserve"> </w:t>
      </w:r>
      <w:r>
        <w:t xml:space="preserve">does not always return</w:t>
      </w:r>
      <w:r>
        <w:t xml:space="preserve"> </w:t>
      </w:r>
      <w:r>
        <w:t xml:space="preserve">an identical set of records, per-gene counts may vary by a few percent between runs; for strict</w:t>
      </w:r>
      <w:r>
        <w:t xml:space="preserve"> </w:t>
      </w:r>
      <w:r>
        <w:t xml:space="preserve">reproducibility the accession identifiers can be frozen.</w:t>
      </w:r>
    </w:p>
    <w:bookmarkEnd w:id="84"/>
    <w:bookmarkEnd w:id="85"/>
    <w:bookmarkStart w:id="106" w:name="results-and-discuss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 and Discussion</w:t>
      </w:r>
    </w:p>
    <w:p>
      <w:pPr>
        <w:pStyle w:val="FirstParagraph"/>
      </w:pPr>
      <w:r>
        <w:t xml:space="preserve">This chapter reports the results obtained by applying the pipeline to the six-gene panel, with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sequences requested per gene (and a per-gene override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for the data-limited</w:t>
      </w:r>
      <w:r>
        <w:t xml:space="preserve"> </w:t>
      </w:r>
      <w:r>
        <w:rPr>
          <w:i/>
          <w:iCs/>
        </w:rPr>
        <w:t xml:space="preserve">algD</w:t>
      </w:r>
      <w:r>
        <w:t xml:space="preserve">). It follows the flow of the method: sequence retrieval and</w:t>
      </w:r>
      <w:r>
        <w:t xml:space="preserve"> </w:t>
      </w:r>
      <w:r>
        <w:t xml:space="preserve">curation, the screening funnel, three-dimensional validation, the diversity and rarefaction</w:t>
      </w:r>
      <w:r>
        <w:t xml:space="preserve"> </w:t>
      </w:r>
      <w:r>
        <w:t xml:space="preserve">analyses, the effect of the organism-aware parameters, the comparison with the reference panel,</w:t>
      </w:r>
      <w:r>
        <w:t xml:space="preserve"> </w:t>
      </w:r>
      <w:r>
        <w:t xml:space="preserve">and the curated dataset of prioritised candidates.</w:t>
      </w:r>
    </w:p>
    <w:bookmarkStart w:id="87" w:name="retrieval-and-length-cura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Retrieval and length curation</w:t>
      </w:r>
    </w:p>
    <w:p>
      <w:pPr>
        <w:pStyle w:val="FirstParagraph"/>
      </w:pPr>
      <w:r>
        <w:t xml:space="preserve">Table </w:t>
      </w:r>
      <w:hyperlink w:anchor="tab:retrieval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shows, for each gene, the number of sequences returned by</w:t>
      </w:r>
      <w:r>
        <w:t xml:space="preserve"> </w:t>
      </w:r>
      <w:r>
        <w:t xml:space="preserve">ncbi</w:t>
      </w:r>
      <w:r>
        <w:t xml:space="preserve"> </w:t>
      </w:r>
      <w:r>
        <w:t xml:space="preserve">and the number retained after length clustering. The clustering step removed</w:t>
      </w:r>
      <w:r>
        <w:t xml:space="preserve"> </w:t>
      </w:r>
      <w:r>
        <w:t xml:space="preserve">partial and oversized records that would otherwise degrade the alignment; its effect is largest</w:t>
      </w:r>
      <w:r>
        <w:t xml:space="preserve"> </w:t>
      </w:r>
      <w:r>
        <w:t xml:space="preserve">for the genes with the most heterogeneous records. Two genes,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algD</w:t>
      </w:r>
      <w:r>
        <w:t xml:space="preserve">,</w:t>
      </w:r>
      <w:r>
        <w:t xml:space="preserve"> </w:t>
      </w:r>
      <w:r>
        <w:t xml:space="preserve">are intrinsically data-limited in</w:t>
      </w:r>
      <w:r>
        <w:t xml:space="preserve"> </w:t>
      </w:r>
      <w:r>
        <w:t xml:space="preserve">ncbi</w:t>
      </w:r>
      <w:r>
        <w:t xml:space="preserve"> </w:t>
      </w:r>
      <w:r>
        <w:t xml:space="preserve">(only 24 and 12 sequences survive</w:t>
      </w:r>
      <w:r>
        <w:t xml:space="preserve"> </w:t>
      </w:r>
      <w:r>
        <w:t xml:space="preserve">respectively), which, as shown below, is reflected in their behaviour through the pipeline.</w:t>
      </w:r>
    </w:p>
    <w:bookmarkStart w:id="86" w:name="tab:retrieval"/>
    <w:p>
      <w:pPr>
        <w:pStyle w:val="TableCaption"/>
      </w:pPr>
      <w:r>
        <w:t xml:space="preserve">Sequences retrieved and retained per gene, and the resulting alignment width.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quences retrieved and retained per gene, and the resulting alignment width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Retrieved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clustering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Alignment (cols)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489</w:t>
            </w:r>
          </w:p>
        </w:tc>
      </w:tr>
    </w:tbl>
    <w:bookmarkEnd w:id="86"/>
    <w:bookmarkEnd w:id="87"/>
    <w:bookmarkStart w:id="89" w:name="screening-funne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Screening funnel</w:t>
      </w:r>
    </w:p>
    <w:p>
      <w:pPr>
        <w:pStyle w:val="FirstParagraph"/>
      </w:pPr>
      <w:r>
        <w:t xml:space="preserve">Across the six genes, the pipeline generated</w:t>
      </w:r>
      <w:r>
        <w:t xml:space="preserve"> </w:t>
      </w:r>
      <m:oMath>
        <m:r>
          <m:t>8455</m:t>
        </m:r>
      </m:oMath>
      <w:r>
        <w:t xml:space="preserve"> </w:t>
      </w:r>
      <w:r>
        <w:t xml:space="preserve">candidate windows and filtered them down to</w:t>
      </w:r>
      <w:r>
        <w:t xml:space="preserve"> </w:t>
      </w:r>
      <m:oMath>
        <m:r>
          <m:t>2943</m:t>
        </m:r>
      </m:oMath>
      <w:r>
        <w:t xml:space="preserve"> </w:t>
      </w:r>
      <w:r>
        <w:t xml:space="preserve">that passed both the thermodynamic screen and the secondary-structure screen</w:t>
      </w:r>
      <w:r>
        <w:t xml:space="preserve"> </w:t>
      </w:r>
      <w:r>
        <w:t xml:space="preserve">(Table </w:t>
      </w:r>
      <w:hyperlink w:anchor="tab:funnel">
        <w:r>
          <w:rPr>
            <w:rStyle w:val="Hyperlink"/>
          </w:rPr>
          <w:t xml:space="preserve">4.2</w:t>
        </w:r>
      </w:hyperlink>
      <w:r>
        <w:t xml:space="preserve">). The melting-temperature and GC filters remove the largest fractions,</w:t>
      </w:r>
      <w:r>
        <w:t xml:space="preserve"> </w:t>
      </w:r>
      <w:r>
        <w:t xml:space="preserve">as expected, since they encode the core hybridisation requirements; the homodimer filter is</w:t>
      </w:r>
      <w:r>
        <w:t xml:space="preserve"> </w:t>
      </w:r>
      <w:r>
        <w:t xml:space="preserve">particularly severe for the GC-rich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genes (</w:t>
      </w:r>
      <w:r>
        <w:rPr>
          <w:i/>
          <w:iCs/>
        </w:rPr>
        <w:t xml:space="preserve">oprL</w:t>
      </w:r>
      <w:r>
        <w:t xml:space="preserve">,</w:t>
      </w:r>
      <w:r>
        <w:t xml:space="preserve"> </w:t>
      </w:r>
      <w:r>
        <w:rPr>
          <w:i/>
          <w:iCs/>
        </w:rPr>
        <w:t xml:space="preserve">algD</w:t>
      </w:r>
      <w:r>
        <w:t xml:space="preserve">),</w:t>
      </w:r>
      <w:r>
        <w:t xml:space="preserve"> </w:t>
      </w:r>
      <w:r>
        <w:t xml:space="preserve">whose sequences are more prone to self-complementarity. The secondary-structure screen removes</w:t>
      </w:r>
      <w:r>
        <w:t xml:space="preserve"> </w:t>
      </w:r>
      <w:r>
        <w:t xml:space="preserve">only a small additional fraction, confirming that most structurally problematic candidates are</w:t>
      </w:r>
      <w:r>
        <w:t xml:space="preserve"> </w:t>
      </w:r>
      <w:r>
        <w:t xml:space="preserve">already eliminated by the thermodynamic filters.</w:t>
      </w:r>
    </w:p>
    <w:bookmarkStart w:id="88" w:name="tab:funnel"/>
    <w:p>
      <w:pPr>
        <w:pStyle w:val="TableCaption"/>
      </w:pPr>
      <w:r>
        <w:t xml:space="preserve">Screening funnel: candidate windows surviving each successive filter.</w:t>
      </w:r>
      <w:r>
        <w:t xml:space="preserve"> </w:t>
      </w:r>
      <w:r>
        <w:t xml:space="preserve">“Basic”</w:t>
      </w:r>
      <w:r>
        <w:t xml:space="preserve"> </w:t>
      </w:r>
      <w:r>
        <w:t xml:space="preserve">is the</w:t>
      </w:r>
      <w:r>
        <w:t xml:space="preserve"> </w:t>
      </w:r>
      <w:r>
        <w:t xml:space="preserve">number passing all four thermodynamic criteria;</w:t>
      </w:r>
      <w:r>
        <w:t xml:space="preserve"> </w:t>
      </w:r>
      <w:r>
        <w:t xml:space="preserve">“Seqfold”</w:t>
      </w:r>
      <w:r>
        <w:t xml:space="preserve"> </w:t>
      </w:r>
      <w:r>
        <w:t xml:space="preserve">additionally passes the</w:t>
      </w:r>
      <w:r>
        <w:t xml:space="preserve"> </w:t>
      </w:r>
      <w:r>
        <w:t xml:space="preserve">secondary-structure screen.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reening funnel: candidate windows surviving each successive filter. “Basic” is the number passing all four thermodynamic criteria; “Seqfold” additionally passes the secondary-structure scree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Hairpin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Basic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Seqfold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8455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4991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2943</w:t>
            </w:r>
          </w:p>
        </w:tc>
      </w:tr>
    </w:tbl>
    <w:bookmarkEnd w:id="88"/>
    <w:bookmarkEnd w:id="89"/>
    <w:bookmarkStart w:id="91" w:name="three-dimensional-validation-1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Three-dimensional validation</w:t>
      </w:r>
    </w:p>
    <w:p>
      <w:pPr>
        <w:pStyle w:val="FirstParagraph"/>
      </w:pPr>
      <w:r>
        <w:t xml:space="preserve">From the candidates that passed screening, the five highest-quality per gene (</w:t>
      </w:r>
      <m:oMath>
        <m:r>
          <m:t>30</m:t>
        </m:r>
      </m:oMath>
      <w:r>
        <w:t xml:space="preserve"> </w:t>
      </w:r>
      <w:r>
        <w:t xml:space="preserve">probes in</w:t>
      </w:r>
      <w:r>
        <w:t xml:space="preserve"> </w:t>
      </w:r>
      <w:r>
        <w:t xml:space="preserve">total) were selected by the quality score and validated with Boltz-2. Of these,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classified as</w:t>
      </w:r>
      <w:r>
        <w:t xml:space="preserve"> </w:t>
      </w:r>
      <w:r>
        <w:rPr>
          <w:smallCaps/>
        </w:rPr>
        <w:t xml:space="preserve">good</w:t>
      </w:r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smallCaps/>
        </w:rPr>
        <w:t xml:space="preserve">moderate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smallCaps/>
        </w:rPr>
        <w:t xml:space="preserve">low</w:t>
      </w:r>
      <w:r>
        <w:t xml:space="preserve"> </w:t>
      </w:r>
      <w:r>
        <w:t xml:space="preserve">by the overall</w:t>
      </w:r>
      <w:r>
        <w:t xml:space="preserve"> </w:t>
      </w:r>
      <w:r>
        <w:t xml:space="preserve">confidence. The best candidates, strong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in sequence quality and in</w:t>
      </w:r>
      <w:r>
        <w:t xml:space="preserve"> </w:t>
      </w:r>
      <w:r>
        <w:t xml:space="preserve">3D, are listed in Table </w:t>
      </w:r>
      <w:hyperlink w:anchor="tab:boltz">
        <w:r>
          <w:rPr>
            <w:rStyle w:val="Hyperlink"/>
          </w:rPr>
          <w:t xml:space="preserve">4.3</w:t>
        </w:r>
      </w:hyperlink>
      <w:r>
        <w:t xml:space="preserve">; they come from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frdB</w:t>
      </w:r>
      <w:r>
        <w:t xml:space="preserve">. The</w:t>
      </w:r>
      <w:r>
        <w:t xml:space="preserve"> </w:t>
      </w:r>
      <w:r>
        <w:t xml:space="preserve">selected probes are strongly conserved (</w:t>
      </w:r>
      <w:r>
        <w:t xml:space="preserve">ppi</w:t>
      </w:r>
      <w:r>
        <w:t xml:space="preserve"> </w:t>
      </w:r>
      <w:r>
        <w:t xml:space="preserve">up to</w:t>
      </w:r>
      <w:r>
        <w:t xml:space="preserve"> </w:t>
      </w:r>
      <m:oMath>
        <m:r>
          <m:t>1.00</m:t>
        </m:r>
      </m:oMath>
      <w:r>
        <w:t xml:space="preserve">) and essentially free of</w:t>
      </w:r>
      <w:r>
        <w:t xml:space="preserve"> </w:t>
      </w:r>
      <w:r>
        <w:t xml:space="preserve">self-structure (No-fold above</w:t>
      </w:r>
      <w:r>
        <w:t xml:space="preserve"> </w:t>
      </w:r>
      <m:oMath>
        <m:r>
          <m:t>96</m:t>
        </m:r>
      </m:oMath>
      <w:r>
        <w:t xml:space="preserve">), which coincides with the highest structure-prediction</w:t>
      </w:r>
      <w:r>
        <w:t xml:space="preserve"> </w:t>
      </w:r>
      <w:r>
        <w:t xml:space="preserve">confidence and</w:t>
      </w:r>
      <w:r>
        <w:t xml:space="preserve"> </w:t>
      </w:r>
      <w:r>
        <w:t xml:space="preserve">plddt</w:t>
      </w:r>
      <w:r>
        <w:t xml:space="preserve"> </w:t>
      </w:r>
      <w:r>
        <w:t xml:space="preserve">among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validated probes. The agreement between the</w:t>
      </w:r>
      <w:r>
        <w:t xml:space="preserve"> </w:t>
      </w:r>
      <w:r>
        <w:t xml:space="preserve">sequence-level signals and the independent 3D prediction provides an internal consistency check</w:t>
      </w:r>
      <w:r>
        <w:t xml:space="preserve"> </w:t>
      </w:r>
      <w:r>
        <w:t xml:space="preserve">on the ranking.</w:t>
      </w:r>
    </w:p>
    <w:bookmarkStart w:id="90" w:name="tab:boltz"/>
    <w:p>
      <w:pPr>
        <w:pStyle w:val="TableCaption"/>
      </w:pPr>
      <w:r>
        <w:t xml:space="preserve">Top probe candidates, strong in both sequence quality and 3D confidence.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 probe candidates, strong in both sequence quality and 3D confidenc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No-fold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plddt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p5972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p7716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p5938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p8448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0.845</w:t>
            </w:r>
          </w:p>
        </w:tc>
      </w:tr>
    </w:tbl>
    <w:bookmarkEnd w:id="90"/>
    <w:bookmarkEnd w:id="91"/>
    <w:bookmarkStart w:id="97" w:name="genetic-diversity-of-the-target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Genetic diversity of the targets</w:t>
      </w:r>
    </w:p>
    <w:p>
      <w:pPr>
        <w:pStyle w:val="FirstParagraph"/>
      </w:pPr>
      <w:r>
        <w:t xml:space="preserve">The alignment-free diversity analysis (Table </w:t>
      </w:r>
      <w:hyperlink w:anchor="tab:diversity">
        <w:r>
          <w:rPr>
            <w:rStyle w:val="Hyperlink"/>
          </w:rPr>
          <w:t xml:space="preserve">4.4</w:t>
        </w:r>
      </w:hyperlink>
      <w:r>
        <w:t xml:space="preserve">) explains much of the</w:t>
      </w:r>
      <w:r>
        <w:t xml:space="preserve"> </w:t>
      </w:r>
      <w:r>
        <w:t xml:space="preserve">behaviour observed above.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is by far the most diverse gene (mean cosine distance</w:t>
      </w:r>
      <w:r>
        <w:t xml:space="preserve"> </w:t>
      </w:r>
      <m:oMath>
        <m:r>
          <m:t>0.187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sequences), consistent with its known allelic diversity in</w:t>
      </w:r>
      <w:r>
        <w:t xml:space="preserve"> </w:t>
      </w:r>
      <w:r>
        <w:rPr>
          <w:i/>
          <w:iCs/>
        </w:rPr>
        <w:t xml:space="preserve">S. pneumoniae</w:t>
      </w:r>
      <w:r>
        <w:t xml:space="preserve"> </w:t>
      </w:r>
      <w:r>
        <w:t xml:space="preserve">(Obregón et al. 2002)</w:t>
      </w:r>
      <w:r>
        <w:t xml:space="preserve">; this justifies the relaxed conservation threshold</w:t>
      </w:r>
      <w:r>
        <w:t xml:space="preserve"> </w:t>
      </w:r>
      <w:r>
        <w:t xml:space="preserve">applied to it. At the opposite extreme,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is the most conserved and most redundant</w:t>
      </w:r>
      <w:r>
        <w:t xml:space="preserve"> </w:t>
      </w:r>
      <w:r>
        <w:t xml:space="preserve">gene (mean cosine distance</w:t>
      </w:r>
      <w:r>
        <w:t xml:space="preserve"> </w:t>
      </w:r>
      <m:oMath>
        <m:r>
          <m:t>0.025</m:t>
        </m:r>
      </m:oMath>
      <w:r>
        <w:t xml:space="preserve"> </w:t>
      </w:r>
      <w:r>
        <w:t xml:space="preserve">and only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sequences, i.e. many exact</w:t>
      </w:r>
      <w:r>
        <w:t xml:space="preserve"> </w:t>
      </w:r>
      <w:r>
        <w:t xml:space="preserve">duplicates in</w:t>
      </w:r>
      <w:r>
        <w:t xml:space="preserve"> </w:t>
      </w:r>
      <w:r>
        <w:t xml:space="preserve">ncbi</w:t>
      </w:r>
      <w:r>
        <w:t xml:space="preserve">), which is why it yields probes of very high conservation.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has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 but very few of them, which accounts for its</w:t>
      </w:r>
      <w:r>
        <w:t xml:space="preserve"> </w:t>
      </w:r>
      <w:r>
        <w:t xml:space="preserve">instability at low sampling and motivates the automatic length-clustering and the per-gene</w:t>
      </w:r>
      <w:r>
        <w:t xml:space="preserve"> </w:t>
      </w:r>
      <w:r>
        <w:t xml:space="preserve">allowance of more sequences. The cosine and Jaccard distances are complementary — the former</w:t>
      </w:r>
      <w:r>
        <w:t xml:space="preserve"> </w:t>
      </w:r>
      <w:r>
        <w:t xml:space="preserve">weighs</w:t>
      </w:r>
      <w:r>
        <w:t xml:space="preserve"> </w:t>
      </w:r>
      <m:oMath>
        <m:r>
          <m:t>4</m:t>
        </m:r>
      </m:oMath>
      <w:r>
        <w:t xml:space="preserve">-mer frequencies, the latter only their presence or absence — and they concur in</w:t>
      </w:r>
      <w:r>
        <w:t xml:space="preserve"> </w:t>
      </w:r>
      <w:r>
        <w:t xml:space="preserve">identifying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as the most conserved and redundant gene, giving an alignment-independent</w:t>
      </w:r>
      <w:r>
        <w:t xml:space="preserve"> </w:t>
      </w:r>
      <w:r>
        <w:t xml:space="preserve">reading of diversity.</w:t>
      </w:r>
    </w:p>
    <w:bookmarkStart w:id="92" w:name="tab:diversity"/>
    <w:p>
      <w:pPr>
        <w:pStyle w:val="TableCaption"/>
      </w:pPr>
      <w:r>
        <w:t xml:space="preserve">Alignment-free</w:t>
      </w:r>
      <w:r>
        <w:t xml:space="preserve"> </w:t>
      </w:r>
      <m:oMath>
        <m:r>
          <m:t>4</m:t>
        </m:r>
      </m:oMath>
      <w:r>
        <w:t xml:space="preserve">-mer diversity per gene. Bold marks the most diverse (</w:t>
      </w:r>
      <w:r>
        <w:rPr>
          <w:i/>
          <w:iCs/>
        </w:rPr>
        <w:t xml:space="preserve">lytA</w:t>
      </w:r>
      <w:r>
        <w:t xml:space="preserve">)</w:t>
      </w:r>
      <w:r>
        <w:t xml:space="preserve"> </w:t>
      </w:r>
      <w:r>
        <w:t xml:space="preserve">and the most conserved/redundant (</w:t>
      </w:r>
      <w:r>
        <w:rPr>
          <w:i/>
          <w:iCs/>
        </w:rPr>
        <w:t xml:space="preserve">frdB</w:t>
      </w:r>
      <w:r>
        <w:t xml:space="preserve">) genes.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ignment-free 4-mer diversity per gene. Bold marks the most diverse (lytA) and the most conserved/redundant (frdB) gen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Cosine (mean)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Cosine (max)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Jaccard (mean)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Unique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35.4</w:t>
            </w:r>
          </w:p>
        </w:tc>
      </w:tr>
    </w:tbl>
    <w:bookmarkEnd w:id="92"/>
    <w:bookmarkStart w:id="96" w:name="fig:diversit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111889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s/diversity_heatmap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188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Pairwise</w:t>
      </w:r>
      <w:r>
        <w:t xml:space="preserve"> </w:t>
      </w:r>
      <m:oMath>
        <m:r>
          <m:t>4</m:t>
        </m:r>
      </m:oMath>
      <w:r>
        <w:t xml:space="preserve">-mer distance heatmaps per gene (alignment-free). Each cell is the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distance between two retrieved sequences of the gene.</w:t>
      </w:r>
    </w:p>
    <w:bookmarkEnd w:id="96"/>
    <w:bookmarkEnd w:id="97"/>
    <w:bookmarkStart w:id="102" w:name="choice-of-sampling-depth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Choice of sampling depth</w:t>
      </w:r>
    </w:p>
    <w:p>
      <w:pPr>
        <w:pStyle w:val="FirstParagraph"/>
      </w:pPr>
      <w:r>
        <w:t xml:space="preserve">The rarefaction analysis showed that both the</w:t>
      </w:r>
      <w:r>
        <w:t xml:space="preserve"> </w:t>
      </w:r>
      <m:oMath>
        <m:r>
          <m:t>4</m:t>
        </m:r>
      </m:oMath>
      <w:r>
        <w:t xml:space="preserve">-mer diversity and the</w:t>
      </w:r>
      <w:r>
        <w:t xml:space="preserve"> </w:t>
      </w:r>
      <m:oMath>
        <m:r>
          <m:t>4</m:t>
        </m:r>
      </m:oMath>
      <w:r>
        <w:t xml:space="preserve">-mer richness</w:t>
      </w:r>
      <w:r>
        <w:t xml:space="preserve"> </w:t>
      </w:r>
      <w:r>
        <w:t xml:space="preserve">saturate at 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sequences for the most demanding gene (</w:t>
      </w:r>
      <w:r>
        <w:rPr>
          <w:i/>
          <w:iCs/>
        </w:rPr>
        <w:t xml:space="preserve">nuc</w:t>
      </w:r>
      <w:r>
        <w:t xml:space="preserve">), and much</w:t>
      </w:r>
      <w:r>
        <w:t xml:space="preserve"> </w:t>
      </w:r>
      <w:r>
        <w:t xml:space="preserve">earlier for the others. Requesting up to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sequences per gene therefore captures essentially</w:t>
      </w:r>
      <w:r>
        <w:t xml:space="preserve"> </w:t>
      </w:r>
      <w:r>
        <w:t xml:space="preserve">all of the available diversity with a comfortable margin, while additional sequences add little</w:t>
      </w:r>
      <w:r>
        <w:t xml:space="preserve"> </w:t>
      </w:r>
      <w:r>
        <w:t xml:space="preserve">new information. The true limiting factor is not this cap but the small number of records</w:t>
      </w:r>
      <w:r>
        <w:t xml:space="preserve"> </w:t>
      </w:r>
      <w:r>
        <w:t xml:space="preserve">available in</w:t>
      </w:r>
      <w:r>
        <w:t xml:space="preserve"> </w:t>
      </w:r>
      <w:r>
        <w:t xml:space="preserve">ncbi</w:t>
      </w:r>
      <w:r>
        <w:t xml:space="preserve"> </w:t>
      </w:r>
      <w:r>
        <w:t xml:space="preserve">for the data-limited genes.</w:t>
      </w:r>
    </w:p>
    <w:bookmarkStart w:id="101" w:name="fig:rarefaction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1887415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s/rarefaction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87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Rarefaction of the mean</w:t>
      </w:r>
      <w:r>
        <w:t xml:space="preserve"> </w:t>
      </w:r>
      <m:oMath>
        <m:r>
          <m:t>4</m:t>
        </m:r>
      </m:oMath>
      <w:r>
        <w:t xml:space="preserve">-mer diversity (left) and of the richness, i.e. the number</w:t>
      </w:r>
      <w:r>
        <w:t xml:space="preserve"> </w:t>
      </w:r>
      <w:r>
        <w:t xml:space="preserve">of distinct</w:t>
      </w:r>
      <w:r>
        <w:t xml:space="preserve"> </w:t>
      </w:r>
      <m:oMath>
        <m:r>
          <m:t>4</m:t>
        </m:r>
      </m:oMath>
      <w:r>
        <w:t xml:space="preserve">-mers (right), per gene, as a function of the number of subsampled sequences.</w:t>
      </w:r>
    </w:p>
    <w:bookmarkEnd w:id="101"/>
    <w:bookmarkEnd w:id="102"/>
    <w:bookmarkStart w:id="103" w:name="effect-of-the-organism-aware-parameter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Effect of the organism-aware parameters</w:t>
      </w:r>
    </w:p>
    <w:p>
      <w:pPr>
        <w:pStyle w:val="FirstParagraph"/>
      </w:pPr>
      <w:r>
        <w:t xml:space="preserve">The value of resolving thresholds per organism type and species is clearest when scoring the</w:t>
      </w:r>
      <w:r>
        <w:t xml:space="preserve"> </w:t>
      </w:r>
      <w:r>
        <w:t xml:space="preserve">reference panel, which spans bacteria, viruses, a fungus, a protozoan and a human control. When</w:t>
      </w:r>
      <w:r>
        <w:t xml:space="preserve"> </w:t>
      </w:r>
      <w:r>
        <w:t xml:space="preserve">the</w:t>
      </w:r>
      <w:r>
        <w:t xml:space="preserve"> </w:t>
      </w:r>
      <m:oMath>
        <m:r>
          <m:t>74</m:t>
        </m:r>
      </m:oMath>
      <w:r>
        <w:t xml:space="preserve"> </w:t>
      </w:r>
      <w:r>
        <w:t xml:space="preserve">reference probes were scored with a single global (bacterial) criterion,</w:t>
      </w:r>
      <w:r>
        <w:t xml:space="preserve"> </w:t>
      </w:r>
      <m:oMath>
        <m:r>
          <m:t>29</m:t>
        </m:r>
      </m:oMath>
      <w:r>
        <w:t xml:space="preserve"> </w:t>
      </w:r>
      <w:r>
        <w:t xml:space="preserve">passed</w:t>
      </w:r>
      <w:r>
        <w:t xml:space="preserve"> </w:t>
      </w:r>
      <w:r>
        <w:t xml:space="preserve">the basic screen; when instead each was scored by the criteria of its own species and type,</w:t>
      </w:r>
      <w:r>
        <w:t xml:space="preserve"> </w:t>
      </w:r>
      <m:oMath>
        <m:r>
          <m:t>39</m:t>
        </m:r>
      </m:oMath>
      <w:r>
        <w:t xml:space="preserve"> </w:t>
      </w:r>
      <w:r>
        <w:t xml:space="preserve">passed. The additional probes are precisely those whose genome composition differs from</w:t>
      </w:r>
      <w:r>
        <w:t xml:space="preserve"> </w:t>
      </w:r>
      <w:r>
        <w:t xml:space="preserve">the balanced bacterial case — for example the AT-rich</w:t>
      </w:r>
      <w:r>
        <w:t xml:space="preserve"> </w:t>
      </w:r>
      <w:r>
        <w:rPr>
          <w:i/>
          <w:iCs/>
        </w:rPr>
        <w:t xml:space="preserve">Plasmodium</w:t>
      </w:r>
      <w:r>
        <w:t xml:space="preserve"> </w:t>
      </w:r>
      <w:r>
        <w:t xml:space="preserve">probe, which the</w:t>
      </w:r>
      <w:r>
        <w:t xml:space="preserve"> </w:t>
      </w:r>
      <w:r>
        <w:t xml:space="preserve">global GC window would reject but which is appropriate under the protozoan profile. This</w:t>
      </w:r>
      <w:r>
        <w:t xml:space="preserve"> </w:t>
      </w:r>
      <w:r>
        <w:t xml:space="preserve">confirms that organism-aware thresholds avoid unfair rejections without loosening the criteria</w:t>
      </w:r>
      <w:r>
        <w:t xml:space="preserve"> </w:t>
      </w:r>
      <w:r>
        <w:t xml:space="preserve">for the balanced targets.</w:t>
      </w:r>
    </w:p>
    <w:bookmarkEnd w:id="103"/>
    <w:bookmarkStart w:id="104" w:name="comparison-with-the-reference-panel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Comparison with the reference panel</w:t>
      </w:r>
    </w:p>
    <w:p>
      <w:pPr>
        <w:pStyle w:val="FirstParagraph"/>
      </w:pPr>
      <w:r>
        <w:t xml:space="preserve">Scored with identical metrics, the designed probes and the reference panel can be compared</w:t>
      </w:r>
      <w:r>
        <w:t xml:space="preserve"> </w:t>
      </w:r>
      <w:r>
        <w:t xml:space="preserve">directly. Among the probes that pass the basic screen, the designed probes have a higher mean</w:t>
      </w:r>
      <w:r>
        <w:t xml:space="preserve"> </w:t>
      </w:r>
      <w:r>
        <w:t xml:space="preserve">melting temperature (</w:t>
      </w:r>
      <m:oMath>
        <m:r>
          <m:t>59.3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56.9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and a very similar mean GC content (</w:t>
      </w:r>
      <m:oMath>
        <m:r>
          <m:t>0.52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0.53</m:t>
        </m:r>
      </m:oMath>
      <w:r>
        <w:t xml:space="preserve">), while the reference probes have a marginally higher mean No-fold score (</w:t>
      </w:r>
      <m:oMath>
        <m:r>
          <m:t>86.0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82.9</m:t>
        </m:r>
      </m:oMath>
      <w:r>
        <w:t xml:space="preserve">). Because both sets carry a source label and share every column, they can also be</w:t>
      </w:r>
      <w:r>
        <w:t xml:space="preserve"> </w:t>
      </w:r>
      <w:r>
        <w:t xml:space="preserve">submitted together to Boltz-2, enabling a like-for-like comparison in three dimensions as well as</w:t>
      </w:r>
      <w:r>
        <w:t xml:space="preserve"> </w:t>
      </w:r>
      <w:r>
        <w:t xml:space="preserve">in sequence space.</w:t>
      </w:r>
    </w:p>
    <w:bookmarkEnd w:id="104"/>
    <w:bookmarkStart w:id="105" w:name="X9623e63b1d82e37c1bea850340ff09550c5766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Curated dataset of prioritised candidates</w:t>
      </w:r>
    </w:p>
    <w:p>
      <w:pPr>
        <w:pStyle w:val="FirstParagraph"/>
      </w:pPr>
      <w:r>
        <w:t xml:space="preserve">Finally, the same quality ranking was used to export a larger curated dataset: the top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probes per gene (</w:t>
      </w:r>
      <m:oMath>
        <m:r>
          <m:t>150</m:t>
        </m:r>
      </m:oMath>
      <w:r>
        <w:t xml:space="preserve"> </w:t>
      </w:r>
      <w:r>
        <w:t xml:space="preserve">probes in total), each with its sequence-level features (</w:t>
      </w:r>
      <w:r>
        <w:t xml:space="preserve">tm</w:t>
      </w:r>
      <w:r>
        <w:t xml:space="preserve">,</w:t>
      </w:r>
      <w:r>
        <w:t xml:space="preserve"> </w:t>
      </w:r>
      <w:r>
        <w:t xml:space="preserve">GC, conservation, No-fold and folding energies). This dataset extends the set of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</w:t>
      </w:r>
      <w:r>
        <w:t xml:space="preserve"> </w:t>
      </w:r>
      <w:r>
        <w:t xml:space="preserve">validated in 3D to a broader, biophysically annotated selection of the highest-quality</w:t>
      </w:r>
      <w:r>
        <w:t xml:space="preserve"> </w:t>
      </w:r>
      <w:r>
        <w:t xml:space="preserve">candidates per gene.</w:t>
      </w:r>
    </w:p>
    <w:bookmarkEnd w:id="105"/>
    <w:bookmarkEnd w:id="106"/>
    <w:bookmarkStart w:id="189" w:name="conclusions-and-future-work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Conclusions and Future Work</w:t>
      </w:r>
    </w:p>
    <w:bookmarkStart w:id="107" w:name="conclusion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Conclusions</w:t>
      </w:r>
    </w:p>
    <w:p>
      <w:pPr>
        <w:pStyle w:val="FirstParagraph"/>
      </w:pPr>
      <w:r>
        <w:t xml:space="preserve">This dissertation set out to design,</w:t>
      </w:r>
      <w:r>
        <w:t xml:space="preserve"> </w:t>
      </w:r>
      <w:r>
        <w:rPr>
          <w:i/>
          <w:iCs/>
        </w:rPr>
        <w:t xml:space="preserve">in silico</w:t>
      </w:r>
      <w:r>
        <w:t xml:space="preserve">, high-quality</w:t>
      </w:r>
      <w:r>
        <w:t xml:space="preserve"> </w:t>
      </w:r>
      <w:r>
        <w:t xml:space="preserve">ssdna</w:t>
      </w:r>
      <w:r>
        <w:t xml:space="preserve"> </w:t>
      </w:r>
      <w:r>
        <w:t xml:space="preserve">capture</w:t>
      </w:r>
      <w:r>
        <w:t xml:space="preserve"> </w:t>
      </w:r>
      <w:r>
        <w:t xml:space="preserve">probes for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targeting a panel of clinically relevant bacterial</w:t>
      </w:r>
      <w:r>
        <w:t xml:space="preserve"> </w:t>
      </w:r>
      <w:r>
        <w:t xml:space="preserve">pathogens. The main outcome is a single, reproducible computational pipeline that turns a</w:t>
      </w:r>
      <w:r>
        <w:t xml:space="preserve"> </w:t>
      </w:r>
      <w:r>
        <w:t xml:space="preserve">target gene into a small set of ranked, biophysically validated probe candidates, with every</w:t>
      </w:r>
      <w:r>
        <w:t xml:space="preserve"> </w:t>
      </w:r>
      <w:r>
        <w:t xml:space="preserve">design decision grounded in the literature.</w:t>
      </w:r>
    </w:p>
    <w:p>
      <w:pPr>
        <w:pStyle w:val="BodyText"/>
      </w:pPr>
      <w:r>
        <w:t xml:space="preserve">The pipeline integrates, in one automated workflow, the stages that are usually performed</w:t>
      </w:r>
      <w:r>
        <w:t xml:space="preserve"> </w:t>
      </w:r>
      <w:r>
        <w:t xml:space="preserve">separately or by hand: retrieval and curation of sequences from</w:t>
      </w:r>
      <w:r>
        <w:t xml:space="preserve"> </w:t>
      </w:r>
      <w:r>
        <w:t xml:space="preserve">ncbi</w:t>
      </w:r>
      <w:r>
        <w:t xml:space="preserve">, automatic</w:t>
      </w:r>
      <w:r>
        <w:t xml:space="preserve"> </w:t>
      </w:r>
      <w:r>
        <w:t xml:space="preserve">length clustering, multiple sequence alignment and</w:t>
      </w:r>
      <w:r>
        <w:t xml:space="preserve"> </w:t>
      </w:r>
      <w:r>
        <w:t xml:space="preserve">ppi</w:t>
      </w:r>
      <w:r>
        <w:t xml:space="preserve">-based conservation scoring,</w:t>
      </w:r>
      <w:r>
        <w:t xml:space="preserve"> </w:t>
      </w:r>
      <w:r>
        <w:t xml:space="preserve">nearest-neighbour thermodynamic screening, secondary-structure evaluation with a continuous</w:t>
      </w:r>
      <w:r>
        <w:t xml:space="preserve"> </w:t>
      </w:r>
      <w:r>
        <w:t xml:space="preserve">No-fold score, and a final three-dimensional validation with Boltz-2. Two design choices give</w:t>
      </w:r>
      <w:r>
        <w:t xml:space="preserve"> </w:t>
      </w:r>
      <w:r>
        <w:t xml:space="preserve">the method its generality and rigour. First, thresholds are resolved through a layered,</w:t>
      </w:r>
      <w:r>
        <w:t xml:space="preserve"> </w:t>
      </w:r>
      <w:r>
        <w:rPr>
          <w:i/>
          <w:iCs/>
        </w:rPr>
        <w:t xml:space="preserve">organism-aware</w:t>
      </w:r>
      <w:r>
        <w:t xml:space="preserve"> </w:t>
      </w:r>
      <w:r>
        <w:t xml:space="preserve">scheme (gene </w:t>
      </w:r>
      <m:oMath>
        <m:r>
          <m:rPr>
            <m:sty m:val="p"/>
          </m:rPr>
          <m:t>→</m:t>
        </m:r>
      </m:oMath>
      <w:r>
        <w:t xml:space="preserve"> species </w:t>
      </w:r>
      <m:oMath>
        <m:r>
          <m:rPr>
            <m:sty m:val="p"/>
          </m:rPr>
          <m:t>→</m:t>
        </m:r>
      </m:oMath>
      <w:r>
        <w:t xml:space="preserve"> type </w:t>
      </w:r>
      <m:oMath>
        <m:r>
          <m:rPr>
            <m:sty m:val="p"/>
          </m:rPr>
          <m:t>→</m:t>
        </m:r>
      </m:oMath>
      <w:r>
        <w:t xml:space="preserve"> </w:t>
      </w:r>
      <w:r>
        <w:t xml:space="preserve"> </w:t>
      </w:r>
      <w:r>
        <w:t xml:space="preserve">global), so that pathogens with very different genome composition are judged by fair criteria;</w:t>
      </w:r>
      <w:r>
        <w:t xml:space="preserve"> </w:t>
      </w:r>
      <w:r>
        <w:t xml:space="preserve">this was shown to recover candidates — such as AT-rich probes — that a single global rule</w:t>
      </w:r>
      <w:r>
        <w:t xml:space="preserve"> </w:t>
      </w:r>
      <w:r>
        <w:t xml:space="preserve">would wrongly discard. Second, candidates are prioritised by a transparent quality score</w:t>
      </w:r>
      <w:r>
        <w:t xml:space="preserve"> </w:t>
      </w:r>
      <w:r>
        <w:t xml:space="preserve">combining conservation and the No-fold score, which concentrates the expensive 3D validation on</w:t>
      </w:r>
      <w:r>
        <w:t xml:space="preserve"> </w:t>
      </w:r>
      <w:r>
        <w:t xml:space="preserve">the most promising sequences.</w:t>
      </w:r>
    </w:p>
    <w:p>
      <w:pPr>
        <w:pStyle w:val="BodyText"/>
      </w:pPr>
      <w:r>
        <w:t xml:space="preserve">Applied to the six-gene panel, the pipeline reduced</w:t>
      </w:r>
      <w:r>
        <w:t xml:space="preserve"> </w:t>
      </w:r>
      <m:oMath>
        <m:r>
          <m:t>8455</m:t>
        </m:r>
      </m:oMath>
      <w:r>
        <w:t xml:space="preserve"> </w:t>
      </w:r>
      <w:r>
        <w:t xml:space="preserve">candidate windows to</w:t>
      </w:r>
      <w:r>
        <w:t xml:space="preserve"> </w:t>
      </w:r>
      <m:oMath>
        <m:r>
          <m:t>2943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passed screening and identified a shortlist of top candidates whose high sequence quality was</w:t>
      </w:r>
      <w:r>
        <w:t xml:space="preserve"> </w:t>
      </w:r>
      <w:r>
        <w:t xml:space="preserve">independently corroborated by the highest 3D confidence and</w:t>
      </w:r>
      <w:r>
        <w:t xml:space="preserve"> </w:t>
      </w:r>
      <w:r>
        <w:t xml:space="preserve">plddt</w:t>
      </w:r>
      <w:r>
        <w:t xml:space="preserve">. Alignment-free</w:t>
      </w:r>
      <w:r>
        <w:t xml:space="preserve"> </w:t>
      </w:r>
      <w:r>
        <w:t xml:space="preserve">diversity and rarefaction analyses characterised each target and justified the sampling depth</w:t>
      </w:r>
      <w:r>
        <w:t xml:space="preserve"> </w:t>
      </w:r>
      <w:r>
        <w:t xml:space="preserve">in a principled, non-arbitrary way. An existing experimental probe panel was folded into the</w:t>
      </w:r>
      <w:r>
        <w:t xml:space="preserve"> </w:t>
      </w:r>
      <w:r>
        <w:t xml:space="preserve">same workflow and scored with identical metrics, enabling a direct comparison, and a curated</w:t>
      </w:r>
      <w:r>
        <w:t xml:space="preserve"> </w:t>
      </w:r>
      <m:oMath>
        <m:r>
          <m:t>150</m:t>
        </m:r>
      </m:oMath>
      <w:r>
        <w:t xml:space="preserve">-probe dataset of the highest-quality candidates per gene was produced.</w:t>
      </w:r>
    </w:p>
    <w:p>
      <w:pPr>
        <w:pStyle w:val="BodyText"/>
      </w:pPr>
      <w:r>
        <w:t xml:space="preserve">Overall, the work delivers a solid, extensible foundation for the computational stage of</w:t>
      </w:r>
      <w:r>
        <w:t xml:space="preserve"> </w:t>
      </w:r>
      <w:r>
        <w:t xml:space="preserve">gfet</w:t>
      </w:r>
      <w:r>
        <w:t xml:space="preserve"> </w:t>
      </w:r>
      <w:r>
        <w:t xml:space="preserve">biosensor development: it produces prioritised, structurally sound probe</w:t>
      </w:r>
      <w:r>
        <w:t xml:space="preserve"> </w:t>
      </w:r>
      <w:r>
        <w:t xml:space="preserve">candidates and generalises to new genes and organisms with minimal configuration.</w:t>
      </w:r>
    </w:p>
    <w:bookmarkEnd w:id="107"/>
    <w:bookmarkStart w:id="188" w:name="prospects-for-future-work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Prospects for future work</w:t>
      </w:r>
    </w:p>
    <w:p>
      <w:pPr>
        <w:pStyle w:val="FirstParagraph"/>
      </w:pPr>
      <w:r>
        <w:t xml:space="preserve">Several directions follow naturally from this work: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Experimental validation.</w:t>
      </w:r>
      <w:r>
        <w:t xml:space="preserve"> </w:t>
      </w:r>
      <w:r>
        <w:t xml:space="preserve">The ultimate test of the designed probes is their</w:t>
      </w:r>
      <w:r>
        <w:t xml:space="preserve"> </w:t>
      </w:r>
      <w:r>
        <w:t xml:space="preserve">performance on fabricated</w:t>
      </w:r>
      <w:r>
        <w:t xml:space="preserve"> </w:t>
      </w:r>
      <w:r>
        <w:t xml:space="preserve">gfet</w:t>
      </w:r>
      <w:r>
        <w:t xml:space="preserve"> </w:t>
      </w:r>
      <w:r>
        <w:t xml:space="preserve">devices; the ranked shortlist provides the</w:t>
      </w:r>
      <w:r>
        <w:t xml:space="preserve"> </w:t>
      </w:r>
      <w:r>
        <w:t xml:space="preserve">immediate candidates for functionalisation and characterisation.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Specificity screening.</w:t>
      </w:r>
      <w:r>
        <w:t xml:space="preserve"> </w:t>
      </w:r>
      <w:r>
        <w:t xml:space="preserve">Adding an automated specificity check (for example a</w:t>
      </w:r>
      <w:r>
        <w:t xml:space="preserve"> </w:t>
      </w:r>
      <w:r>
        <w:t xml:space="preserve">BLAST step against non-target genomes and the host) would complement the current</w:t>
      </w:r>
      <w:r>
        <w:t xml:space="preserve"> </w:t>
      </w:r>
      <w:r>
        <w:t xml:space="preserve">conservation-driven, sensitivity-oriented selection.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Comparison of 3D methods.</w:t>
      </w:r>
      <w:r>
        <w:t xml:space="preserve"> </w:t>
      </w:r>
      <w:r>
        <w:t xml:space="preserve">The Boltz-2 predictions can be benchmarked against an</w:t>
      </w:r>
      <w:r>
        <w:t xml:space="preserve"> </w:t>
      </w:r>
      <w:r>
        <w:t xml:space="preserve">independent molecular-docking pipeline, to assess the agreement of the two structural</w:t>
      </w:r>
      <w:r>
        <w:t xml:space="preserve"> </w:t>
      </w:r>
      <w:r>
        <w:t xml:space="preserve">views of the probe–target interaction.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Data-driven modelling.</w:t>
      </w:r>
      <w:r>
        <w:t xml:space="preserve"> </w:t>
      </w:r>
      <w:r>
        <w:t xml:space="preserve">The curated feature dataset opens the way to a machine-</w:t>
      </w:r>
      <w:r>
        <w:t xml:space="preserve"> </w:t>
      </w:r>
      <w:r>
        <w:t xml:space="preserve">learning model that predicts probe quality directly, potentially accelerating or</w:t>
      </w:r>
      <w:r>
        <w:t xml:space="preserve"> </w:t>
      </w:r>
      <w:r>
        <w:t xml:space="preserve">refining the ranking.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Broader panels.</w:t>
      </w:r>
      <w:r>
        <w:t xml:space="preserve"> </w:t>
      </w:r>
      <w:r>
        <w:t xml:space="preserve">As the framework already supports viral, fungal, protozoan and</w:t>
      </w:r>
      <w:r>
        <w:t xml:space="preserve"> </w:t>
      </w:r>
      <w:r>
        <w:t xml:space="preserve">host profiles, extending the panel to further genes and non-bacterial pathogens is</w:t>
      </w:r>
      <w:r>
        <w:t xml:space="preserve"> </w:t>
      </w:r>
      <w:r>
        <w:t xml:space="preserve">largely a matter of configuration.</w:t>
      </w:r>
    </w:p>
    <w:bookmarkStart w:id="187" w:name="refs"/>
    <w:bookmarkStart w:id="109" w:name="ref-abramson2024"/>
    <w:p>
      <w:pPr>
        <w:pStyle w:val="Bibliography"/>
      </w:pPr>
      <w:r>
        <w:t xml:space="preserve">Abramson, Josh, Jonas Adler, Jack Dunger, et al.</w:t>
      </w:r>
      <w:r>
        <w:t xml:space="preserve"> 2024.</w:t>
      </w:r>
      <w:r>
        <w:t xml:space="preserve"> </w:t>
      </w:r>
      <w:r>
        <w:t xml:space="preserve">“Accurate Structure Prediction of Biomolecular Interactions with</w:t>
      </w:r>
      <w:r>
        <w:t xml:space="preserve"> </w:t>
      </w:r>
      <w:r>
        <w:t xml:space="preserve">AlphaFold</w:t>
      </w:r>
      <w:r>
        <w:t xml:space="preserve"> 3.”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630 (8016): 493–500.</w:t>
      </w:r>
      <w:r>
        <w:t xml:space="preserve"> </w:t>
      </w:r>
      <w:hyperlink r:id="rId108">
        <w:r>
          <w:rPr>
            <w:rStyle w:val="Hyperlink"/>
          </w:rPr>
          <w:t xml:space="preserve">https://doi.org/10.1038/s41586-024-07487-w</w:t>
        </w:r>
      </w:hyperlink>
      <w:r>
        <w:t xml:space="preserve">.</w:t>
      </w:r>
    </w:p>
    <w:bookmarkEnd w:id="109"/>
    <w:bookmarkStart w:id="111" w:name="ref-brakstad1992"/>
    <w:p>
      <w:pPr>
        <w:pStyle w:val="Bibliography"/>
      </w:pPr>
      <w:r>
        <w:t xml:space="preserve">Brakstad, O. G., K. Aasbakk, and J. A. Maeland. 1992.</w:t>
      </w:r>
      <w:r>
        <w:t xml:space="preserve"> </w:t>
      </w:r>
      <w:r>
        <w:t xml:space="preserve">“Detection of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by Polymerase Chain Reaction Amplification of the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Gene.”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30 (7): 1654–60.</w:t>
      </w:r>
      <w:r>
        <w:t xml:space="preserve"> </w:t>
      </w:r>
      <w:hyperlink r:id="rId110">
        <w:r>
          <w:rPr>
            <w:rStyle w:val="Hyperlink"/>
          </w:rPr>
          <w:t xml:space="preserve">https://doi.org/10.1128/jcm.30.7.1654-1660.1992</w:t>
        </w:r>
      </w:hyperlink>
      <w:r>
        <w:t xml:space="preserve">.</w:t>
      </w:r>
    </w:p>
    <w:bookmarkEnd w:id="111"/>
    <w:bookmarkStart w:id="113" w:name="ref-campos2019"/>
    <w:p>
      <w:pPr>
        <w:pStyle w:val="Bibliography"/>
      </w:pPr>
      <w:r>
        <w:t xml:space="preserve">Campos, Rui, Jérôme Borme, Joana Rafaela Guerreiro, et al. 2019.</w:t>
      </w:r>
      <w:r>
        <w:t xml:space="preserve"> </w:t>
      </w:r>
      <w:r>
        <w:t xml:space="preserve">“Attomolar Label-Free Detection of</w:t>
      </w:r>
      <w:r>
        <w:t xml:space="preserve"> </w:t>
      </w:r>
      <w:r>
        <w:t xml:space="preserve">DNA</w:t>
      </w:r>
      <w:r>
        <w:t xml:space="preserve"> </w:t>
      </w:r>
      <w:r>
        <w:t xml:space="preserve">Hybridization with Electrolyte-Gated Graphene Field-Effect Transistors.”</w:t>
      </w:r>
      <w:r>
        <w:t xml:space="preserve"> </w:t>
      </w:r>
      <w:r>
        <w:rPr>
          <w:i/>
          <w:iCs/>
        </w:rPr>
        <w:t xml:space="preserve">ACS Sensors</w:t>
      </w:r>
      <w:r>
        <w:t xml:space="preserve"> </w:t>
      </w:r>
      <w:r>
        <w:t xml:space="preserve">4 (2): 286–93.</w:t>
      </w:r>
      <w:r>
        <w:t xml:space="preserve"> </w:t>
      </w:r>
      <w:hyperlink r:id="rId112">
        <w:r>
          <w:rPr>
            <w:rStyle w:val="Hyperlink"/>
          </w:rPr>
          <w:t xml:space="preserve">https://doi.org/10.1021/acssensors.8b00344</w:t>
        </w:r>
      </w:hyperlink>
      <w:r>
        <w:t xml:space="preserve">.</w:t>
      </w:r>
    </w:p>
    <w:bookmarkEnd w:id="113"/>
    <w:bookmarkStart w:id="115" w:name="ref-carvalho2007"/>
    <w:p>
      <w:pPr>
        <w:pStyle w:val="Bibliography"/>
      </w:pPr>
      <w:r>
        <w:t xml:space="preserve">Carvalho, Maria da Glória S., Maria L. Tondella, Karen McCaustland, et al.</w:t>
      </w:r>
      <w:r>
        <w:t xml:space="preserve"> 2007.</w:t>
      </w:r>
      <w:r>
        <w:t xml:space="preserve"> </w:t>
      </w:r>
      <w:r>
        <w:t xml:space="preserve">“Evaluation and Improvement of Real-Time</w:t>
      </w:r>
      <w:r>
        <w:t xml:space="preserve"> </w:t>
      </w:r>
      <w:r>
        <w:t xml:space="preserve">PCR</w:t>
      </w:r>
      <w:r>
        <w:t xml:space="preserve"> </w:t>
      </w:r>
      <w:r>
        <w:t xml:space="preserve">Assays Targeting</w:t>
      </w:r>
      <w:r>
        <w:t xml:space="preserve"> </w:t>
      </w:r>
      <w:r>
        <w:rPr>
          <w:i/>
          <w:iCs/>
        </w:rPr>
        <w:t xml:space="preserve">lytA</w:t>
      </w:r>
      <w:r>
        <w:t xml:space="preserve">,</w:t>
      </w:r>
      <w:r>
        <w:t xml:space="preserve"> </w:t>
      </w:r>
      <w:r>
        <w:rPr>
          <w:i/>
          <w:iCs/>
        </w:rPr>
        <w:t xml:space="preserve">Ply</w:t>
      </w:r>
      <w:r>
        <w:t xml:space="preserve">, and</w:t>
      </w:r>
      <w:r>
        <w:t xml:space="preserve"> </w:t>
      </w:r>
      <w:r>
        <w:rPr>
          <w:i/>
          <w:iCs/>
        </w:rPr>
        <w:t xml:space="preserve">psaA</w:t>
      </w:r>
      <w:r>
        <w:t xml:space="preserve"> </w:t>
      </w:r>
      <w:r>
        <w:t xml:space="preserve">Genes for Detection of Pneumococcal</w:t>
      </w:r>
      <w:r>
        <w:t xml:space="preserve"> </w:t>
      </w:r>
      <w:r>
        <w:t xml:space="preserve">DNA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45 (8): 2460–66.</w:t>
      </w:r>
      <w:r>
        <w:t xml:space="preserve"> </w:t>
      </w:r>
      <w:hyperlink r:id="rId114">
        <w:r>
          <w:rPr>
            <w:rStyle w:val="Hyperlink"/>
          </w:rPr>
          <w:t xml:space="preserve">https://doi.org/10.1128/JCM.02498-06</w:t>
        </w:r>
      </w:hyperlink>
      <w:r>
        <w:t xml:space="preserve">.</w:t>
      </w:r>
    </w:p>
    <w:bookmarkEnd w:id="115"/>
    <w:bookmarkStart w:id="117" w:name="ref-devos1997"/>
    <w:p>
      <w:pPr>
        <w:pStyle w:val="Bibliography"/>
      </w:pPr>
      <w:r>
        <w:t xml:space="preserve">De Vos, D., A. Lim Jr., J.-P. Pirnay, et al. 1997.</w:t>
      </w:r>
      <w:r>
        <w:t xml:space="preserve"> </w:t>
      </w:r>
      <w:r>
        <w:t xml:space="preserve">“Direct Detection and Identification of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in Clinical Samples Such as Skin Biopsy Specimens and Expectorations by Multiplex</w:t>
      </w:r>
      <w:r>
        <w:t xml:space="preserve"> </w:t>
      </w:r>
      <w:r>
        <w:t xml:space="preserve">PCR</w:t>
      </w:r>
      <w:r>
        <w:t xml:space="preserve"> </w:t>
      </w:r>
      <w:r>
        <w:t xml:space="preserve">Based on Two Outer Membrane Lipoprotein Genes,</w:t>
      </w:r>
      <w:r>
        <w:t xml:space="preserve"> </w:t>
      </w:r>
      <w:r>
        <w:rPr>
          <w:i/>
          <w:iCs/>
        </w:rPr>
        <w:t xml:space="preserve">oprI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oprL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35 (6): 1295–99.</w:t>
      </w:r>
      <w:r>
        <w:t xml:space="preserve"> </w:t>
      </w:r>
      <w:hyperlink r:id="rId116">
        <w:r>
          <w:rPr>
            <w:rStyle w:val="Hyperlink"/>
          </w:rPr>
          <w:t xml:space="preserve">https://doi.org/10.1128/jcm.35.6.1295-1299.1997</w:t>
        </w:r>
      </w:hyperlink>
      <w:r>
        <w:t xml:space="preserve">.</w:t>
      </w:r>
    </w:p>
    <w:bookmarkEnd w:id="117"/>
    <w:bookmarkStart w:id="119" w:name="ref-ellington1990"/>
    <w:p>
      <w:pPr>
        <w:pStyle w:val="Bibliography"/>
      </w:pPr>
      <w:r>
        <w:t xml:space="preserve">Ellington, Andrew D., and Jack W. Szostak. 1990.</w:t>
      </w:r>
      <w:r>
        <w:t xml:space="preserve"> </w:t>
      </w:r>
      <w:r>
        <w:t xml:space="preserve">“In Vitro Selection of</w:t>
      </w:r>
      <w:r>
        <w:t xml:space="preserve"> </w:t>
      </w:r>
      <w:r>
        <w:t xml:space="preserve">RNA</w:t>
      </w:r>
      <w:r>
        <w:t xml:space="preserve"> </w:t>
      </w:r>
      <w:r>
        <w:t xml:space="preserve">Molecules That Bind Specific Ligands.”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346 (6287): 818–22.</w:t>
      </w:r>
      <w:r>
        <w:t xml:space="preserve"> </w:t>
      </w:r>
      <w:hyperlink r:id="rId118">
        <w:r>
          <w:rPr>
            <w:rStyle w:val="Hyperlink"/>
          </w:rPr>
          <w:t xml:space="preserve">https://doi.org/10.1038/346818a0</w:t>
        </w:r>
      </w:hyperlink>
      <w:r>
        <w:t xml:space="preserve">.</w:t>
      </w:r>
    </w:p>
    <w:bookmarkEnd w:id="119"/>
    <w:bookmarkStart w:id="121" w:name="ref-gardner2002"/>
    <w:p>
      <w:pPr>
        <w:pStyle w:val="Bibliography"/>
      </w:pPr>
      <w:r>
        <w:t xml:space="preserve">Gardner, Malcolm J., Neil Hall, Eula Fung, et al.</w:t>
      </w:r>
      <w:r>
        <w:t xml:space="preserve"> 2002.</w:t>
      </w:r>
      <w:r>
        <w:t xml:space="preserve"> </w:t>
      </w:r>
      <w:r>
        <w:t xml:space="preserve">“Genome Sequence of the Human Malaria Parasite</w:t>
      </w:r>
      <w:r>
        <w:t xml:space="preserve"> </w:t>
      </w:r>
      <w:r>
        <w:rPr>
          <w:i/>
          <w:iCs/>
        </w:rPr>
        <w:t xml:space="preserve">Plasmodium Falciparum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419 (6906): 498–511.</w:t>
      </w:r>
      <w:r>
        <w:t xml:space="preserve"> </w:t>
      </w:r>
      <w:hyperlink r:id="rId120">
        <w:r>
          <w:rPr>
            <w:rStyle w:val="Hyperlink"/>
          </w:rPr>
          <w:t xml:space="preserve">https://doi.org/10.1038/nature01097</w:t>
        </w:r>
      </w:hyperlink>
      <w:r>
        <w:t xml:space="preserve">.</w:t>
      </w:r>
    </w:p>
    <w:bookmarkEnd w:id="121"/>
    <w:bookmarkStart w:id="123" w:name="ref-green2015"/>
    <w:p>
      <w:pPr>
        <w:pStyle w:val="Bibliography"/>
      </w:pPr>
      <w:r>
        <w:t xml:space="preserve">Green, N. S., and M. L. Norton. 2015.</w:t>
      </w:r>
      <w:r>
        <w:t xml:space="preserve"> </w:t>
      </w:r>
      <w:r>
        <w:t xml:space="preserve">“Interactions of</w:t>
      </w:r>
      <w:r>
        <w:t xml:space="preserve"> </w:t>
      </w:r>
      <w:r>
        <w:t xml:space="preserve">DNA</w:t>
      </w:r>
      <w:r>
        <w:t xml:space="preserve"> </w:t>
      </w:r>
      <w:r>
        <w:t xml:space="preserve">with Graphene and Sensing Applications of Graphene Field-Effect Transistor Devices: A Review.”</w:t>
      </w:r>
      <w:r>
        <w:t xml:space="preserve"> </w:t>
      </w:r>
      <w:r>
        <w:rPr>
          <w:i/>
          <w:iCs/>
        </w:rPr>
        <w:t xml:space="preserve">Analytica Chimica Acta</w:t>
      </w:r>
      <w:r>
        <w:t xml:space="preserve"> </w:t>
      </w:r>
      <w:r>
        <w:t xml:space="preserve">853: 127–42.</w:t>
      </w:r>
      <w:r>
        <w:t xml:space="preserve"> </w:t>
      </w:r>
      <w:hyperlink r:id="rId122">
        <w:r>
          <w:rPr>
            <w:rStyle w:val="Hyperlink"/>
          </w:rPr>
          <w:t xml:space="preserve">https://doi.org/10.1016/j.aca.2014.10.038</w:t>
        </w:r>
      </w:hyperlink>
      <w:r>
        <w:t xml:space="preserve">.</w:t>
      </w:r>
    </w:p>
    <w:bookmarkEnd w:id="123"/>
    <w:bookmarkStart w:id="125" w:name="ref-hu2024"/>
    <w:p>
      <w:pPr>
        <w:pStyle w:val="Bibliography"/>
      </w:pPr>
      <w:r>
        <w:t xml:space="preserve">Hu, Changchun, Shuting Yang, Shuo Li, et al. 2024.</w:t>
      </w:r>
      <w:r>
        <w:t xml:space="preserve"> </w:t>
      </w:r>
      <w:r>
        <w:t xml:space="preserve">“Viral Aptamer Screening and Aptamer-Based Biosensors for Virus Detection: A Review.”</w:t>
      </w:r>
      <w:r>
        <w:t xml:space="preserve"> </w:t>
      </w:r>
      <w:r>
        <w:rPr>
          <w:i/>
          <w:iCs/>
        </w:rPr>
        <w:t xml:space="preserve">International Journal of Biological Macromolecules</w:t>
      </w:r>
      <w:r>
        <w:t xml:space="preserve"> </w:t>
      </w:r>
      <w:r>
        <w:t xml:space="preserve">276: 133935.</w:t>
      </w:r>
      <w:r>
        <w:t xml:space="preserve"> </w:t>
      </w:r>
      <w:hyperlink r:id="rId124">
        <w:r>
          <w:rPr>
            <w:rStyle w:val="Hyperlink"/>
          </w:rPr>
          <w:t xml:space="preserve">https://doi.org/10.1016/j.ijbiomac.2024.133935</w:t>
        </w:r>
      </w:hyperlink>
      <w:r>
        <w:t xml:space="preserve">.</w:t>
      </w:r>
    </w:p>
    <w:bookmarkEnd w:id="125"/>
    <w:bookmarkStart w:id="127" w:name="ref-hwang2020"/>
    <w:p>
      <w:pPr>
        <w:pStyle w:val="Bibliography"/>
      </w:pPr>
      <w:r>
        <w:t xml:space="preserve">Hwang, Michael T., Mohammad Heiranian, Yerim Kim, et al. 2020.</w:t>
      </w:r>
      <w:r>
        <w:t xml:space="preserve"> </w:t>
      </w:r>
      <w:r>
        <w:t xml:space="preserve">“Ultrasensitive Detection of Nucleic Acids Using Deformed Graphene Channel Field Effect Biosensors.”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11: 1543.</w:t>
      </w:r>
      <w:r>
        <w:t xml:space="preserve"> </w:t>
      </w:r>
      <w:hyperlink r:id="rId126">
        <w:r>
          <w:rPr>
            <w:rStyle w:val="Hyperlink"/>
          </w:rPr>
          <w:t xml:space="preserve">https://doi.org/10.1038/s41467-020-15330-9</w:t>
        </w:r>
      </w:hyperlink>
      <w:r>
        <w:t xml:space="preserve">.</w:t>
      </w:r>
    </w:p>
    <w:bookmarkEnd w:id="127"/>
    <w:bookmarkStart w:id="129" w:name="ref-idtoligo"/>
    <w:p>
      <w:pPr>
        <w:pStyle w:val="Bibliography"/>
      </w:pPr>
      <w:r>
        <w:t xml:space="preserve">Integrated DNA Technologies. n.d.</w:t>
      </w:r>
      <w:r>
        <w:t xml:space="preserve"> </w:t>
      </w:r>
      <w:r>
        <w:rPr>
          <w:i/>
          <w:iCs/>
        </w:rPr>
        <w:t xml:space="preserve">OligoAnalyzer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Https://www.idtdna.com/pages/tools/oligoanalyzer</w:t>
        </w:r>
      </w:hyperlink>
      <w:r>
        <w:t xml:space="preserve">.</w:t>
      </w:r>
    </w:p>
    <w:bookmarkEnd w:id="129"/>
    <w:bookmarkStart w:id="131" w:name="ref-jumper2021"/>
    <w:p>
      <w:pPr>
        <w:pStyle w:val="Bibliography"/>
      </w:pPr>
      <w:r>
        <w:t xml:space="preserve">Jumper, John, Richard Evans, Alexander Pritzel, et al.</w:t>
      </w:r>
      <w:r>
        <w:t xml:space="preserve"> 2021.</w:t>
      </w:r>
      <w:r>
        <w:t xml:space="preserve"> </w:t>
      </w:r>
      <w:r>
        <w:t xml:space="preserve">“Highly Accurate Protein Structure Prediction with</w:t>
      </w:r>
      <w:r>
        <w:t xml:space="preserve"> </w:t>
      </w:r>
      <w:r>
        <w:t xml:space="preserve">AlphaFold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596 (7873): 583–89.</w:t>
      </w:r>
      <w:r>
        <w:t xml:space="preserve"> </w:t>
      </w:r>
      <w:hyperlink r:id="rId130">
        <w:r>
          <w:rPr>
            <w:rStyle w:val="Hyperlink"/>
          </w:rPr>
          <w:t xml:space="preserve">https://doi.org/10.1038/s41586-021-03819-2</w:t>
        </w:r>
      </w:hyperlink>
      <w:r>
        <w:t xml:space="preserve">.</w:t>
      </w:r>
    </w:p>
    <w:bookmarkEnd w:id="131"/>
    <w:bookmarkStart w:id="133" w:name="ref-katoh2013"/>
    <w:p>
      <w:pPr>
        <w:pStyle w:val="Bibliography"/>
      </w:pPr>
      <w:r>
        <w:t xml:space="preserve">Katoh, Kazutaka, and Daron M. Standley. 2013.</w:t>
      </w:r>
      <w:r>
        <w:t xml:space="preserve"> </w:t>
      </w:r>
      <w:r>
        <w:t xml:space="preserve">“</w:t>
      </w:r>
      <w:r>
        <w:t xml:space="preserve">MAFFT</w:t>
      </w:r>
      <w:r>
        <w:t xml:space="preserve"> </w:t>
      </w:r>
      <w:r>
        <w:t xml:space="preserve">Multiple Sequence Alignment Software Version 7: Improvements in Performance and Usability.”</w:t>
      </w:r>
      <w:r>
        <w:t xml:space="preserve"> </w:t>
      </w:r>
      <w:r>
        <w:rPr>
          <w:i/>
          <w:iCs/>
        </w:rPr>
        <w:t xml:space="preserve">Molecular Biology and Evolution</w:t>
      </w:r>
      <w:r>
        <w:t xml:space="preserve"> </w:t>
      </w:r>
      <w:r>
        <w:t xml:space="preserve">30 (4): 772–80.</w:t>
      </w:r>
      <w:r>
        <w:t xml:space="preserve"> </w:t>
      </w:r>
      <w:hyperlink r:id="rId132">
        <w:r>
          <w:rPr>
            <w:rStyle w:val="Hyperlink"/>
          </w:rPr>
          <w:t xml:space="preserve">https://doi.org/10.1093/molbev/mst010</w:t>
        </w:r>
      </w:hyperlink>
      <w:r>
        <w:t xml:space="preserve">.</w:t>
      </w:r>
    </w:p>
    <w:bookmarkEnd w:id="133"/>
    <w:bookmarkStart w:id="135" w:name="ref-kolm2020"/>
    <w:p>
      <w:pPr>
        <w:pStyle w:val="Bibliography"/>
      </w:pPr>
      <w:r>
        <w:t xml:space="preserve">Kolm, C., I. Cervenka, C. Aschl, et al. 2020.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Aptamers Against Bacterial Cells Can Be Efficiently Selected by a</w:t>
      </w:r>
      <w:r>
        <w:t xml:space="preserve"> </w:t>
      </w:r>
      <w:r>
        <w:t xml:space="preserve">SELEX</w:t>
      </w:r>
      <w:r>
        <w:t xml:space="preserve"> </w:t>
      </w:r>
      <w:r>
        <w:t xml:space="preserve">Process Using State-of-the-Art</w:t>
      </w:r>
      <w:r>
        <w:t xml:space="preserve"> </w:t>
      </w:r>
      <w:r>
        <w:t xml:space="preserve">qPCR</w:t>
      </w:r>
      <w:r>
        <w:t xml:space="preserve"> </w:t>
      </w:r>
      <w:r>
        <w:t xml:space="preserve">and Ultra-Deep Sequencing.”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10: 20917.</w:t>
      </w:r>
      <w:r>
        <w:t xml:space="preserve"> </w:t>
      </w:r>
      <w:hyperlink r:id="rId134">
        <w:r>
          <w:rPr>
            <w:rStyle w:val="Hyperlink"/>
          </w:rPr>
          <w:t xml:space="preserve">https://doi.org/10.1038/s41598-020-77221-9</w:t>
        </w:r>
      </w:hyperlink>
      <w:r>
        <w:t xml:space="preserve">.</w:t>
      </w:r>
    </w:p>
    <w:bookmarkEnd w:id="135"/>
    <w:bookmarkStart w:id="137" w:name="ref-kozel2017"/>
    <w:p>
      <w:pPr>
        <w:pStyle w:val="Bibliography"/>
      </w:pPr>
      <w:r>
        <w:t xml:space="preserve">Kozel, Thomas R., and Amanda R. Burnham-Marusich. 2017.</w:t>
      </w:r>
      <w:r>
        <w:t xml:space="preserve"> </w:t>
      </w:r>
      <w:r>
        <w:t xml:space="preserve">“Point-of-Care Testing for Infectious Diseases: Past, Present, and Future.”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55 (8): 2313–20.</w:t>
      </w:r>
      <w:r>
        <w:t xml:space="preserve"> </w:t>
      </w:r>
      <w:hyperlink r:id="rId136">
        <w:r>
          <w:rPr>
            <w:rStyle w:val="Hyperlink"/>
          </w:rPr>
          <w:t xml:space="preserve">https://doi.org/10.1128/JCM.00476-17</w:t>
        </w:r>
      </w:hyperlink>
      <w:r>
        <w:t xml:space="preserve">.</w:t>
      </w:r>
    </w:p>
    <w:bookmarkEnd w:id="137"/>
    <w:bookmarkStart w:id="139" w:name="ref-krishnan2023"/>
    <w:p>
      <w:pPr>
        <w:pStyle w:val="Bibliography"/>
      </w:pPr>
      <w:r>
        <w:t xml:space="preserve">Krishnan, Siva Kumar, Nandini Nataraj, M. Meyyappan, and Umapada Pal. 2023.</w:t>
      </w:r>
      <w:r>
        <w:t xml:space="preserve"> </w:t>
      </w:r>
      <w:r>
        <w:t xml:space="preserve">“Graphene-Based Field-Effect Transistors in Biosensing and Neural Interfacing Applications: Recent Advances and Prospects.”</w:t>
      </w:r>
      <w:r>
        <w:t xml:space="preserve"> </w:t>
      </w:r>
      <w:r>
        <w:rPr>
          <w:i/>
          <w:iCs/>
        </w:rPr>
        <w:t xml:space="preserve">Analytical Chemistry</w:t>
      </w:r>
      <w:r>
        <w:t xml:space="preserve"> </w:t>
      </w:r>
      <w:r>
        <w:t xml:space="preserve">95 (5): 2590–622.</w:t>
      </w:r>
      <w:r>
        <w:t xml:space="preserve"> </w:t>
      </w:r>
      <w:hyperlink r:id="rId138">
        <w:r>
          <w:rPr>
            <w:rStyle w:val="Hyperlink"/>
          </w:rPr>
          <w:t xml:space="preserve">https://doi.org/10.1021/acs.analchem.2c03399</w:t>
        </w:r>
      </w:hyperlink>
      <w:r>
        <w:t xml:space="preserve">.</w:t>
      </w:r>
    </w:p>
    <w:bookmarkEnd w:id="139"/>
    <w:bookmarkStart w:id="141" w:name="ref-viruscope"/>
    <w:p>
      <w:pPr>
        <w:pStyle w:val="Bibliography"/>
      </w:pPr>
      <w:r>
        <w:t xml:space="preserve">Lima, Ana. 2023.</w:t>
      </w:r>
      <w:r>
        <w:t xml:space="preserve"> </w:t>
      </w:r>
      <w:r>
        <w:rPr>
          <w:i/>
          <w:iCs/>
        </w:rPr>
        <w:t xml:space="preserve">ViruScope</w:t>
      </w:r>
      <w:r>
        <w:rPr>
          <w:i/>
          <w:iCs/>
        </w:rPr>
        <w:t xml:space="preserve">: Conservation (</w:t>
      </w:r>
      <w:r>
        <w:rPr>
          <w:i/>
          <w:iCs/>
        </w:rPr>
        <w:t xml:space="preserve">PPI</w:t>
      </w:r>
      <w:r>
        <w:rPr>
          <w:i/>
          <w:iCs/>
        </w:rPr>
        <w:t xml:space="preserve">) and No-Fold Scoring for Nucleic Acid Probe Design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Https://github.com/anasfplima/ViruScope</w:t>
        </w:r>
      </w:hyperlink>
      <w:r>
        <w:t xml:space="preserve">.</w:t>
      </w:r>
    </w:p>
    <w:bookmarkEnd w:id="141"/>
    <w:bookmarkStart w:id="143" w:name="ref-lu2009"/>
    <w:p>
      <w:pPr>
        <w:pStyle w:val="Bibliography"/>
      </w:pPr>
      <w:r>
        <w:t xml:space="preserve">Lu, Chun-Hua, Huang-Hao Yang, Chun-Ling Zhu, Xi Chen, and Guo-Nan Chen. 2009.</w:t>
      </w:r>
      <w:r>
        <w:t xml:space="preserve"> </w:t>
      </w:r>
      <w:r>
        <w:t xml:space="preserve">“A Graphene Platform for Sensing Biomolecules.”</w:t>
      </w:r>
      <w:r>
        <w:t xml:space="preserve"> </w:t>
      </w:r>
      <w:r>
        <w:rPr>
          <w:i/>
          <w:iCs/>
        </w:rPr>
        <w:t xml:space="preserve">Angewandte Chemie International Edition</w:t>
      </w:r>
      <w:r>
        <w:t xml:space="preserve"> </w:t>
      </w:r>
      <w:r>
        <w:t xml:space="preserve">48 (26): 4785–87.</w:t>
      </w:r>
      <w:r>
        <w:t xml:space="preserve"> </w:t>
      </w:r>
      <w:hyperlink r:id="rId142">
        <w:r>
          <w:rPr>
            <w:rStyle w:val="Hyperlink"/>
          </w:rPr>
          <w:t xml:space="preserve">https://doi.org/10.1002/anie.200901479</w:t>
        </w:r>
      </w:hyperlink>
      <w:r>
        <w:t xml:space="preserve">.</w:t>
      </w:r>
    </w:p>
    <w:bookmarkEnd w:id="143"/>
    <w:bookmarkStart w:id="145" w:name="ref-murray2022"/>
    <w:p>
      <w:pPr>
        <w:pStyle w:val="Bibliography"/>
      </w:pPr>
      <w:r>
        <w:t xml:space="preserve">Murray, Christopher J. L., Kevin S. Ikuta, Fablina Sharara, et al.</w:t>
      </w:r>
      <w:r>
        <w:t xml:space="preserve"> 2022.</w:t>
      </w:r>
      <w:r>
        <w:t xml:space="preserve"> </w:t>
      </w:r>
      <w:r>
        <w:t xml:space="preserve">“Global Burden of Bacterial Antimicrobial Resistance in 2019: A Systematic Analysis.”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399 (10325): 629–55.</w:t>
      </w:r>
      <w:r>
        <w:t xml:space="preserve"> </w:t>
      </w:r>
      <w:hyperlink r:id="rId144">
        <w:r>
          <w:rPr>
            <w:rStyle w:val="Hyperlink"/>
          </w:rPr>
          <w:t xml:space="preserve">https://doi.org/10.1016/S0140-6736(21)02724-0</w:t>
        </w:r>
      </w:hyperlink>
      <w:r>
        <w:t xml:space="preserve">.</w:t>
      </w:r>
    </w:p>
    <w:bookmarkEnd w:id="145"/>
    <w:bookmarkStart w:id="147" w:name="ref-nakatsuka2018"/>
    <w:p>
      <w:pPr>
        <w:pStyle w:val="Bibliography"/>
      </w:pPr>
      <w:r>
        <w:t xml:space="preserve">Nakatsuka, Nako, Kyung-Ae Yang, John M. Abendroth, et al.</w:t>
      </w:r>
      <w:r>
        <w:t xml:space="preserve"> 2018.</w:t>
      </w:r>
      <w:r>
        <w:t xml:space="preserve"> </w:t>
      </w:r>
      <w:r>
        <w:t xml:space="preserve">“Aptamer–Field-Effect Transistors Overcome Debye Length Limitations for Small-Molecule Sensing.”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362 (6412): 319–24.</w:t>
      </w:r>
      <w:r>
        <w:t xml:space="preserve"> </w:t>
      </w:r>
      <w:hyperlink r:id="rId146">
        <w:r>
          <w:rPr>
            <w:rStyle w:val="Hyperlink"/>
          </w:rPr>
          <w:t xml:space="preserve">https://doi.org/10.1126/science.aao6750</w:t>
        </w:r>
      </w:hyperlink>
      <w:r>
        <w:t xml:space="preserve">.</w:t>
      </w:r>
    </w:p>
    <w:bookmarkEnd w:id="147"/>
    <w:bookmarkStart w:id="149" w:name="ref-nierman2005"/>
    <w:p>
      <w:pPr>
        <w:pStyle w:val="Bibliography"/>
      </w:pPr>
      <w:r>
        <w:t xml:space="preserve">Nierman, William C., Arnab Pain, Michael J. Anderson, et al.</w:t>
      </w:r>
      <w:r>
        <w:t xml:space="preserve"> 2005.</w:t>
      </w:r>
      <w:r>
        <w:t xml:space="preserve"> </w:t>
      </w:r>
      <w:r>
        <w:t xml:space="preserve">“Genomic Sequence of the Pathogenic and Allergenic Filamentous Fungus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 </w:t>
      </w:r>
      <w:r>
        <w:t xml:space="preserve">Af293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438 (7071): 1151–56.</w:t>
      </w:r>
      <w:r>
        <w:t xml:space="preserve"> </w:t>
      </w:r>
      <w:hyperlink r:id="rId148">
        <w:r>
          <w:rPr>
            <w:rStyle w:val="Hyperlink"/>
          </w:rPr>
          <w:t xml:space="preserve">https://doi.org/10.1038/nature04332</w:t>
        </w:r>
      </w:hyperlink>
      <w:r>
        <w:t xml:space="preserve">.</w:t>
      </w:r>
    </w:p>
    <w:bookmarkEnd w:id="149"/>
    <w:bookmarkStart w:id="151" w:name="ref-novoselov2004"/>
    <w:p>
      <w:pPr>
        <w:pStyle w:val="Bibliography"/>
      </w:pPr>
      <w:r>
        <w:t xml:space="preserve">Novoselov, K. S., A. K. Geim, S. V. Morozov, et al. 2004.</w:t>
      </w:r>
      <w:r>
        <w:t xml:space="preserve"> </w:t>
      </w:r>
      <w:r>
        <w:t xml:space="preserve">“Electric Field Effect in Atomically Thin Carbon Films.”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 (5696): 666–69.</w:t>
      </w:r>
      <w:r>
        <w:t xml:space="preserve"> </w:t>
      </w:r>
      <w:hyperlink r:id="rId150">
        <w:r>
          <w:rPr>
            <w:rStyle w:val="Hyperlink"/>
          </w:rPr>
          <w:t xml:space="preserve">https://doi.org/10.1126/science.1102896</w:t>
        </w:r>
      </w:hyperlink>
      <w:r>
        <w:t xml:space="preserve">.</w:t>
      </w:r>
    </w:p>
    <w:bookmarkEnd w:id="151"/>
    <w:bookmarkStart w:id="153" w:name="ref-obregon2002"/>
    <w:p>
      <w:pPr>
        <w:pStyle w:val="Bibliography"/>
      </w:pPr>
      <w:r>
        <w:t xml:space="preserve">Obregón, V., J. L. García, E. García, A. Fenoll, R. López, and P. García. 2002.</w:t>
      </w:r>
      <w:r>
        <w:t xml:space="preserve"> </w:t>
      </w:r>
      <w:r>
        <w:t xml:space="preserve">“Molecular Peculiarities of the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Gene Isolated from Clinical Pneumococcal Strains That Are Bile Insoluble.”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40 (7): 2545–54.</w:t>
      </w:r>
      <w:r>
        <w:t xml:space="preserve"> </w:t>
      </w:r>
      <w:hyperlink r:id="rId152">
        <w:r>
          <w:rPr>
            <w:rStyle w:val="Hyperlink"/>
          </w:rPr>
          <w:t xml:space="preserve">https://doi.org/10.1128/JCM.40.7.2545-2554.2002</w:t>
        </w:r>
      </w:hyperlink>
      <w:r>
        <w:t xml:space="preserve">.</w:t>
      </w:r>
    </w:p>
    <w:bookmarkEnd w:id="153"/>
    <w:bookmarkStart w:id="155" w:name="ref-ping2016"/>
    <w:p>
      <w:pPr>
        <w:pStyle w:val="Bibliography"/>
      </w:pPr>
      <w:r>
        <w:t xml:space="preserve">Ping, Jinglei, Ramya Vishnubhotla, Amey Vrudhula, and A. T. Charlie Johnson. 2016.</w:t>
      </w:r>
      <w:r>
        <w:t xml:space="preserve"> </w:t>
      </w:r>
      <w:r>
        <w:t xml:space="preserve">“Scalable Production of High-Sensitivity, Label-Free</w:t>
      </w:r>
      <w:r>
        <w:t xml:space="preserve"> </w:t>
      </w:r>
      <w:r>
        <w:t xml:space="preserve">DNA</w:t>
      </w:r>
      <w:r>
        <w:t xml:space="preserve"> </w:t>
      </w:r>
      <w:r>
        <w:t xml:space="preserve">Biosensors Based on Back-Gated Graphene Field-Effect Transistors.”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t xml:space="preserve">10 (9): 8700–8704.</w:t>
      </w:r>
      <w:r>
        <w:t xml:space="preserve"> </w:t>
      </w:r>
      <w:hyperlink r:id="rId154">
        <w:r>
          <w:rPr>
            <w:rStyle w:val="Hyperlink"/>
          </w:rPr>
          <w:t xml:space="preserve">https://doi.org/10.1021/acsnano.6b04110</w:t>
        </w:r>
      </w:hyperlink>
      <w:r>
        <w:t xml:space="preserve">.</w:t>
      </w:r>
    </w:p>
    <w:bookmarkEnd w:id="155"/>
    <w:bookmarkStart w:id="157" w:name="ref-purwidyantri2021"/>
    <w:p>
      <w:pPr>
        <w:pStyle w:val="Bibliography"/>
      </w:pPr>
      <w:r>
        <w:t xml:space="preserve">Purwidyantri, Agustin, Tiago Domingues, Jérôme Borme, et al. 2021.</w:t>
      </w:r>
      <w:r>
        <w:t xml:space="preserve"> </w:t>
      </w:r>
      <w:r>
        <w:t xml:space="preserve">“Influence of the Electrolyte Salt Concentration on</w:t>
      </w:r>
      <w:r>
        <w:t xml:space="preserve"> </w:t>
      </w:r>
      <w:r>
        <w:t xml:space="preserve">DNA</w:t>
      </w:r>
      <w:r>
        <w:t xml:space="preserve"> </w:t>
      </w:r>
      <w:r>
        <w:t xml:space="preserve">Detection with Graphene Transistors.”</w:t>
      </w:r>
      <w:r>
        <w:t xml:space="preserve"> </w:t>
      </w:r>
      <w:r>
        <w:rPr>
          <w:i/>
          <w:iCs/>
        </w:rPr>
        <w:t xml:space="preserve">Biosensors</w:t>
      </w:r>
      <w:r>
        <w:t xml:space="preserve"> </w:t>
      </w:r>
      <w:r>
        <w:t xml:space="preserve">11 (1): 24.</w:t>
      </w:r>
      <w:r>
        <w:t xml:space="preserve"> </w:t>
      </w:r>
      <w:hyperlink r:id="rId156">
        <w:r>
          <w:rPr>
            <w:rStyle w:val="Hyperlink"/>
          </w:rPr>
          <w:t xml:space="preserve">https://doi.org/10.3390/bios11010024</w:t>
        </w:r>
      </w:hyperlink>
      <w:r>
        <w:t xml:space="preserve">.</w:t>
      </w:r>
    </w:p>
    <w:bookmarkEnd w:id="157"/>
    <w:bookmarkStart w:id="159" w:name="ref-purwidyantri2022"/>
    <w:p>
      <w:pPr>
        <w:pStyle w:val="Bibliography"/>
      </w:pPr>
      <w:r>
        <w:t xml:space="preserve">Purwidyantri, Agustin, Andrey Ipatov, Tiago Domingues, et al. 2022.</w:t>
      </w:r>
      <w:r>
        <w:t xml:space="preserve"> </w:t>
      </w:r>
      <w:r>
        <w:t xml:space="preserve">“Programmable Graphene-Based Microfluidic Sensor for</w:t>
      </w:r>
      <w:r>
        <w:t xml:space="preserve"> </w:t>
      </w:r>
      <w:r>
        <w:t xml:space="preserve">DNA</w:t>
      </w:r>
      <w:r>
        <w:t xml:space="preserve"> </w:t>
      </w:r>
      <w:r>
        <w:t xml:space="preserve">Detection.”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 </w:t>
      </w:r>
      <w:r>
        <w:t xml:space="preserve">367: 132044.</w:t>
      </w:r>
      <w:r>
        <w:t xml:space="preserve"> </w:t>
      </w:r>
      <w:hyperlink r:id="rId158">
        <w:r>
          <w:rPr>
            <w:rStyle w:val="Hyperlink"/>
          </w:rPr>
          <w:t xml:space="preserve">https://doi.org/10.1016/j.snb.2022.132044</w:t>
        </w:r>
      </w:hyperlink>
      <w:r>
        <w:t xml:space="preserve">.</w:t>
      </w:r>
    </w:p>
    <w:bookmarkEnd w:id="159"/>
    <w:bookmarkStart w:id="161" w:name="ref-santalucia2004"/>
    <w:p>
      <w:pPr>
        <w:pStyle w:val="Bibliography"/>
      </w:pPr>
      <w:r>
        <w:t xml:space="preserve">SantaLucia Jr., John, and Donald Hicks. 2004.</w:t>
      </w:r>
      <w:r>
        <w:t xml:space="preserve"> </w:t>
      </w:r>
      <w:r>
        <w:t xml:space="preserve">“The Thermodynamics of</w:t>
      </w:r>
      <w:r>
        <w:t xml:space="preserve"> </w:t>
      </w:r>
      <w:r>
        <w:t xml:space="preserve">DNA</w:t>
      </w:r>
      <w:r>
        <w:t xml:space="preserve"> </w:t>
      </w:r>
      <w:r>
        <w:t xml:space="preserve">Structural Motifs.”</w:t>
      </w:r>
      <w:r>
        <w:t xml:space="preserve"> </w:t>
      </w:r>
      <w:r>
        <w:rPr>
          <w:i/>
          <w:iCs/>
        </w:rPr>
        <w:t xml:space="preserve">Annual Review of Biophysics and Biomolecular Structure</w:t>
      </w:r>
      <w:r>
        <w:t xml:space="preserve"> </w:t>
      </w:r>
      <w:r>
        <w:t xml:space="preserve">33: 415–40.</w:t>
      </w:r>
      <w:r>
        <w:t xml:space="preserve"> </w:t>
      </w:r>
      <w:hyperlink r:id="rId160">
        <w:r>
          <w:rPr>
            <w:rStyle w:val="Hyperlink"/>
          </w:rPr>
          <w:t xml:space="preserve">https://doi.org/10.1146/annurev.biophys.32.110601.141800</w:t>
        </w:r>
      </w:hyperlink>
      <w:r>
        <w:t xml:space="preserve">.</w:t>
      </w:r>
    </w:p>
    <w:bookmarkEnd w:id="161"/>
    <w:bookmarkStart w:id="163" w:name="ref-schedin2007"/>
    <w:p>
      <w:pPr>
        <w:pStyle w:val="Bibliography"/>
      </w:pPr>
      <w:r>
        <w:t xml:space="preserve">Schedin, F., A. K. Geim, S. V. Morozov, et al. 2007.</w:t>
      </w:r>
      <w:r>
        <w:t xml:space="preserve"> </w:t>
      </w:r>
      <w:r>
        <w:t xml:space="preserve">“Detection of Individual Gas Molecules Adsorbed on Graphene.”</w:t>
      </w:r>
      <w:r>
        <w:t xml:space="preserve"> </w:t>
      </w:r>
      <w:r>
        <w:rPr>
          <w:i/>
          <w:iCs/>
        </w:rPr>
        <w:t xml:space="preserve">Nature Materials</w:t>
      </w:r>
      <w:r>
        <w:t xml:space="preserve"> </w:t>
      </w:r>
      <w:r>
        <w:t xml:space="preserve">6 (9): 652–55.</w:t>
      </w:r>
      <w:r>
        <w:t xml:space="preserve"> </w:t>
      </w:r>
      <w:hyperlink r:id="rId162">
        <w:r>
          <w:rPr>
            <w:rStyle w:val="Hyperlink"/>
          </w:rPr>
          <w:t xml:space="preserve">https://doi.org/10.1038/nmat1967</w:t>
        </w:r>
      </w:hyperlink>
      <w:r>
        <w:t xml:space="preserve">.</w:t>
      </w:r>
    </w:p>
    <w:bookmarkEnd w:id="163"/>
    <w:bookmarkStart w:id="165" w:name="ref-stephens2025"/>
    <w:p>
      <w:pPr>
        <w:pStyle w:val="Bibliography"/>
      </w:pPr>
      <w:r>
        <w:t xml:space="preserve">Stephens, C., N. M. Goodey, and U. Gubler. 2025.</w:t>
      </w:r>
      <w:r>
        <w:t xml:space="preserve"> </w:t>
      </w:r>
      <w:r>
        <w:t xml:space="preserve">“A Beginner’s Guide to</w:t>
      </w:r>
      <w:r>
        <w:t xml:space="preserve"> </w:t>
      </w:r>
      <w:r>
        <w:t xml:space="preserve">SELEX</w:t>
      </w:r>
      <w:r>
        <w:t xml:space="preserve"> </w:t>
      </w:r>
      <w:r>
        <w:t xml:space="preserve">and</w:t>
      </w:r>
      <w:r>
        <w:t xml:space="preserve"> </w:t>
      </w:r>
      <w:r>
        <w:t xml:space="preserve">DNA</w:t>
      </w:r>
      <w:r>
        <w:t xml:space="preserve"> </w:t>
      </w:r>
      <w:r>
        <w:t xml:space="preserve">Aptamers.”</w:t>
      </w:r>
      <w:r>
        <w:t xml:space="preserve"> </w:t>
      </w:r>
      <w:r>
        <w:rPr>
          <w:i/>
          <w:iCs/>
        </w:rPr>
        <w:t xml:space="preserve">Analytical Biochemistry</w:t>
      </w:r>
      <w:r>
        <w:t xml:space="preserve"> </w:t>
      </w:r>
      <w:r>
        <w:t xml:space="preserve">703: 115890.</w:t>
      </w:r>
      <w:r>
        <w:t xml:space="preserve"> </w:t>
      </w:r>
      <w:hyperlink r:id="rId164">
        <w:r>
          <w:rPr>
            <w:rStyle w:val="Hyperlink"/>
          </w:rPr>
          <w:t xml:space="preserve">https://doi.org/10.1016/j.ab.2025.115890</w:t>
        </w:r>
      </w:hyperlink>
      <w:r>
        <w:t xml:space="preserve">.</w:t>
      </w:r>
    </w:p>
    <w:bookmarkEnd w:id="165"/>
    <w:bookmarkStart w:id="167" w:name="ref-stover2000"/>
    <w:p>
      <w:pPr>
        <w:pStyle w:val="Bibliography"/>
      </w:pPr>
      <w:r>
        <w:t xml:space="preserve">Stover, C. K., X. Q. Pham, A. L. Erwin, S. D. Mizoguchi, et al.</w:t>
      </w:r>
      <w:r>
        <w:t xml:space="preserve"> 2000.</w:t>
      </w:r>
      <w:r>
        <w:t xml:space="preserve"> </w:t>
      </w:r>
      <w:r>
        <w:t xml:space="preserve">“Complete Genome Sequence of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PAO1</w:t>
      </w:r>
      <w:r>
        <w:t xml:space="preserve">, an Opportunistic Pathogen.”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406 (6799): 959–64.</w:t>
      </w:r>
      <w:r>
        <w:t xml:space="preserve"> </w:t>
      </w:r>
      <w:hyperlink r:id="rId166">
        <w:r>
          <w:rPr>
            <w:rStyle w:val="Hyperlink"/>
          </w:rPr>
          <w:t xml:space="preserve">https://doi.org/10.1038/35023079</w:t>
        </w:r>
      </w:hyperlink>
      <w:r>
        <w:t xml:space="preserve">.</w:t>
      </w:r>
    </w:p>
    <w:bookmarkEnd w:id="167"/>
    <w:bookmarkStart w:id="169" w:name="ref-sun2022"/>
    <w:p>
      <w:pPr>
        <w:pStyle w:val="Bibliography"/>
      </w:pPr>
      <w:r>
        <w:t xml:space="preserve">Sun, Di, Miao Sun, Jialu Zhang, et al. 2022.</w:t>
      </w:r>
      <w:r>
        <w:t xml:space="preserve"> </w:t>
      </w:r>
      <w:r>
        <w:t xml:space="preserve">“Computational Tools for Aptamer Identification and Optimization.”</w:t>
      </w:r>
      <w:r>
        <w:t xml:space="preserve"> </w:t>
      </w:r>
      <w:r>
        <w:rPr>
          <w:i/>
          <w:iCs/>
        </w:rPr>
        <w:t xml:space="preserve">TrAC Trends in Analytical Chemistry</w:t>
      </w:r>
      <w:r>
        <w:t xml:space="preserve"> </w:t>
      </w:r>
      <w:r>
        <w:t xml:space="preserve">157: 116767.</w:t>
      </w:r>
      <w:r>
        <w:t xml:space="preserve"> </w:t>
      </w:r>
      <w:hyperlink r:id="rId168">
        <w:r>
          <w:rPr>
            <w:rStyle w:val="Hyperlink"/>
          </w:rPr>
          <w:t xml:space="preserve">https://doi.org/10.1016/j.trac.2022.116767</w:t>
        </w:r>
      </w:hyperlink>
      <w:r>
        <w:t xml:space="preserve">.</w:t>
      </w:r>
    </w:p>
    <w:bookmarkEnd w:id="169"/>
    <w:bookmarkStart w:id="171" w:name="ref-seqfold"/>
    <w:p>
      <w:pPr>
        <w:pStyle w:val="Bibliography"/>
      </w:pPr>
      <w:r>
        <w:t xml:space="preserve">Timmons, Joshua. 2020.</w:t>
      </w:r>
      <w:r>
        <w:t xml:space="preserve"> </w:t>
      </w:r>
      <w:r>
        <w:rPr>
          <w:i/>
          <w:iCs/>
        </w:rPr>
        <w:t xml:space="preserve">seqfold</w:t>
      </w:r>
      <w:r>
        <w:rPr>
          <w:i/>
          <w:iCs/>
        </w:rPr>
        <w:t xml:space="preserve">: Nucleic Acid Secondary Structure Prediction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Https://github.com/Lattice-Automation/seqfold</w:t>
        </w:r>
      </w:hyperlink>
      <w:r>
        <w:t xml:space="preserve">.</w:t>
      </w:r>
    </w:p>
    <w:bookmarkEnd w:id="171"/>
    <w:bookmarkStart w:id="173" w:name="ref-tuerk1990"/>
    <w:p>
      <w:pPr>
        <w:pStyle w:val="Bibliography"/>
      </w:pPr>
      <w:r>
        <w:t xml:space="preserve">Tuerk, Craig, and Larry Gold. 1990.</w:t>
      </w:r>
      <w:r>
        <w:t xml:space="preserve"> </w:t>
      </w:r>
      <w:r>
        <w:t xml:space="preserve">“Systematic Evolution of Ligands by Exponential Enrichment:</w:t>
      </w:r>
      <w:r>
        <w:t xml:space="preserve"> </w:t>
      </w:r>
      <w:r>
        <w:t xml:space="preserve">RNA</w:t>
      </w:r>
      <w:r>
        <w:t xml:space="preserve"> </w:t>
      </w:r>
      <w:r>
        <w:t xml:space="preserve">Ligands to Bacteriophage</w:t>
      </w:r>
      <w:r>
        <w:t xml:space="preserve"> </w:t>
      </w:r>
      <w:r>
        <w:t xml:space="preserve">T4</w:t>
      </w:r>
      <w:r>
        <w:t xml:space="preserve"> </w:t>
      </w:r>
      <w:r>
        <w:t xml:space="preserve">DNA</w:t>
      </w:r>
      <w:r>
        <w:t xml:space="preserve"> </w:t>
      </w:r>
      <w:r>
        <w:t xml:space="preserve">Polymerase.”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249 (4968): 505–10.</w:t>
      </w:r>
      <w:r>
        <w:t xml:space="preserve"> </w:t>
      </w:r>
      <w:hyperlink r:id="rId172">
        <w:r>
          <w:rPr>
            <w:rStyle w:val="Hyperlink"/>
          </w:rPr>
          <w:t xml:space="preserve">https://doi.org/10.1126/science.2200121</w:t>
        </w:r>
      </w:hyperlink>
      <w:r>
        <w:t xml:space="preserve">.</w:t>
      </w:r>
    </w:p>
    <w:bookmarkEnd w:id="173"/>
    <w:bookmarkStart w:id="175" w:name="ref-turner2010"/>
    <w:p>
      <w:pPr>
        <w:pStyle w:val="Bibliography"/>
      </w:pPr>
      <w:r>
        <w:t xml:space="preserve">Turner, Douglas H., and David H. Mathews. 2010.</w:t>
      </w:r>
      <w:r>
        <w:t xml:space="preserve"> </w:t>
      </w:r>
      <w:r>
        <w:t xml:space="preserve">“</w:t>
      </w:r>
      <w:r>
        <w:t xml:space="preserve">NNDB</w:t>
      </w:r>
      <w:r>
        <w:t xml:space="preserve">: The Nearest Neighbor Parameter Database for Predicting Stability of Nucleic Acid Secondary Structure.”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38 (suppl 1): D280–82.</w:t>
      </w:r>
      <w:r>
        <w:t xml:space="preserve"> </w:t>
      </w:r>
      <w:hyperlink r:id="rId174">
        <w:r>
          <w:rPr>
            <w:rStyle w:val="Hyperlink"/>
          </w:rPr>
          <w:t xml:space="preserve">https://doi.org/10.1093/nar/gkp892</w:t>
        </w:r>
      </w:hyperlink>
      <w:r>
        <w:t xml:space="preserve">.</w:t>
      </w:r>
    </w:p>
    <w:bookmarkEnd w:id="175"/>
    <w:bookmarkStart w:id="177" w:name="ref-untergasser2012"/>
    <w:p>
      <w:pPr>
        <w:pStyle w:val="Bibliography"/>
      </w:pPr>
      <w:r>
        <w:t xml:space="preserve">Untergasser, Andreas, Ioana Cutcutache, Triinu Koressaar, et al. 2012.</w:t>
      </w:r>
      <w:r>
        <w:t xml:space="preserve"> </w:t>
      </w:r>
      <w:r>
        <w:t xml:space="preserve">“Primer3—New Capabilities and Interfaces.”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40 (15): e115.</w:t>
      </w:r>
      <w:r>
        <w:t xml:space="preserve"> </w:t>
      </w:r>
      <w:hyperlink r:id="rId176">
        <w:r>
          <w:rPr>
            <w:rStyle w:val="Hyperlink"/>
          </w:rPr>
          <w:t xml:space="preserve">https://doi.org/10.1093/nar/gks596</w:t>
        </w:r>
      </w:hyperlink>
      <w:r>
        <w:t xml:space="preserve">.</w:t>
      </w:r>
    </w:p>
    <w:bookmarkEnd w:id="177"/>
    <w:bookmarkStart w:id="179" w:name="ref-wetmur1991"/>
    <w:p>
      <w:pPr>
        <w:pStyle w:val="Bibliography"/>
      </w:pPr>
      <w:r>
        <w:t xml:space="preserve">Wetmur, James G. 1991.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Probes: Applications of the Principles of Nucleic Acid Hybridization.”</w:t>
      </w:r>
      <w:r>
        <w:t xml:space="preserve"> </w:t>
      </w:r>
      <w:r>
        <w:rPr>
          <w:i/>
          <w:iCs/>
        </w:rPr>
        <w:t xml:space="preserve">Critical Reviews in Biochemistry and Molecular Biology</w:t>
      </w:r>
      <w:r>
        <w:t xml:space="preserve"> </w:t>
      </w:r>
      <w:r>
        <w:t xml:space="preserve">26 (3-4): 227–59.</w:t>
      </w:r>
      <w:r>
        <w:t xml:space="preserve"> </w:t>
      </w:r>
      <w:hyperlink r:id="rId178">
        <w:r>
          <w:rPr>
            <w:rStyle w:val="Hyperlink"/>
          </w:rPr>
          <w:t xml:space="preserve">https://doi.org/10.3109/10409239109114069</w:t>
        </w:r>
      </w:hyperlink>
      <w:r>
        <w:t xml:space="preserve">.</w:t>
      </w:r>
    </w:p>
    <w:bookmarkEnd w:id="179"/>
    <w:bookmarkStart w:id="181" w:name="ref-wohlwend2024"/>
    <w:p>
      <w:pPr>
        <w:pStyle w:val="Bibliography"/>
      </w:pPr>
      <w:r>
        <w:t xml:space="preserve">Wohlwend, Jeremy, Gabriele Corso, Saro Passaro,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Boltz-1</w:t>
      </w:r>
      <w:r>
        <w:t xml:space="preserve">: Democratizing Biomolecular Interaction Modeling.”</w:t>
      </w:r>
      <w:r>
        <w:t xml:space="preserve"> </w:t>
      </w:r>
      <w:r>
        <w:rPr>
          <w:i/>
          <w:iCs/>
        </w:rPr>
        <w:t xml:space="preserve">bioRxiv</w:t>
      </w:r>
      <w:r>
        <w:t xml:space="preserve">, ahead of print.</w:t>
      </w:r>
      <w:r>
        <w:t xml:space="preserve"> </w:t>
      </w:r>
      <w:hyperlink r:id="rId180">
        <w:r>
          <w:rPr>
            <w:rStyle w:val="Hyperlink"/>
          </w:rPr>
          <w:t xml:space="preserve">https://doi.org/10.1101/2024.11.19.624167</w:t>
        </w:r>
      </w:hyperlink>
      <w:r>
        <w:t xml:space="preserve">.</w:t>
      </w:r>
    </w:p>
    <w:bookmarkEnd w:id="181"/>
    <w:bookmarkStart w:id="182" w:name="ref-who2024bppl"/>
    <w:p>
      <w:pPr>
        <w:pStyle w:val="Bibliography"/>
      </w:pPr>
      <w:r>
        <w:t xml:space="preserve">World Health Organization. 2024.</w:t>
      </w:r>
      <w:r>
        <w:t xml:space="preserve"> </w:t>
      </w:r>
      <w:r>
        <w:rPr>
          <w:i/>
          <w:iCs/>
        </w:rPr>
        <w:t xml:space="preserve">WHO</w:t>
      </w:r>
      <w:r>
        <w:rPr>
          <w:i/>
          <w:iCs/>
        </w:rPr>
        <w:t xml:space="preserve"> </w:t>
      </w:r>
      <w:r>
        <w:rPr>
          <w:i/>
          <w:iCs/>
        </w:rPr>
        <w:t xml:space="preserve">Bacterial Priority Pathogens List, 2024</w:t>
      </w:r>
      <w:r>
        <w:t xml:space="preserve">. World Health Organization.</w:t>
      </w:r>
    </w:p>
    <w:bookmarkEnd w:id="182"/>
    <w:bookmarkStart w:id="184" w:name="ref-zadeh2011"/>
    <w:p>
      <w:pPr>
        <w:pStyle w:val="Bibliography"/>
      </w:pPr>
      <w:r>
        <w:t xml:space="preserve">Zadeh, Joseph N., Conrad D. Steenberg, Justin S. Bois, et al. 2011.</w:t>
      </w:r>
      <w:r>
        <w:t xml:space="preserve"> </w:t>
      </w:r>
      <w:r>
        <w:t xml:space="preserve">“</w:t>
      </w:r>
      <w:r>
        <w:t xml:space="preserve">NUPACK</w:t>
      </w:r>
      <w:r>
        <w:t xml:space="preserve">: Analysis and Design of Nucleic Acid Systems.”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 </w:t>
      </w:r>
      <w:r>
        <w:t xml:space="preserve">32 (1): 170–73.</w:t>
      </w:r>
      <w:r>
        <w:t xml:space="preserve"> </w:t>
      </w:r>
      <w:hyperlink r:id="rId183">
        <w:r>
          <w:rPr>
            <w:rStyle w:val="Hyperlink"/>
          </w:rPr>
          <w:t xml:space="preserve">https://doi.org/10.1002/jcc.21596</w:t>
        </w:r>
      </w:hyperlink>
      <w:r>
        <w:t xml:space="preserve">.</w:t>
      </w:r>
    </w:p>
    <w:bookmarkEnd w:id="184"/>
    <w:bookmarkStart w:id="186" w:name="ref-zhu2015"/>
    <w:p>
      <w:pPr>
        <w:pStyle w:val="Bibliography"/>
      </w:pPr>
      <w:r>
        <w:t xml:space="preserve">Zhu, Yingyue, Yilin Cai, Liguang Xu, et al. 2015.</w:t>
      </w:r>
      <w:r>
        <w:t xml:space="preserve"> </w:t>
      </w:r>
      <w:r>
        <w:t xml:space="preserve">“Building an Aptamer/Graphene Oxide</w:t>
      </w:r>
      <w:r>
        <w:t xml:space="preserve"> </w:t>
      </w:r>
      <w:r>
        <w:t xml:space="preserve">FRET</w:t>
      </w:r>
      <w:r>
        <w:t xml:space="preserve"> </w:t>
      </w:r>
      <w:r>
        <w:t xml:space="preserve">Biosensor for One-Step Detection of Bisphenol</w:t>
      </w:r>
      <w:r>
        <w:t xml:space="preserve"> </w:t>
      </w:r>
      <w:r>
        <w:t xml:space="preserve">A</w:t>
      </w:r>
      <w:r>
        <w:t xml:space="preserve">.”</w:t>
      </w:r>
      <w:r>
        <w:t xml:space="preserve"> </w:t>
      </w:r>
      <w:r>
        <w:rPr>
          <w:i/>
          <w:iCs/>
        </w:rPr>
        <w:t xml:space="preserve">ACS Applied Materials &amp; Interfaces</w:t>
      </w:r>
      <w:r>
        <w:t xml:space="preserve"> </w:t>
      </w:r>
      <w:r>
        <w:t xml:space="preserve">7 (14): 7492–96.</w:t>
      </w:r>
      <w:r>
        <w:t xml:space="preserve"> </w:t>
      </w:r>
      <w:hyperlink r:id="rId185">
        <w:r>
          <w:rPr>
            <w:rStyle w:val="Hyperlink"/>
          </w:rPr>
          <w:t xml:space="preserve">https://doi.org/10.1021/acsami.5b00199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3" Target="media/rId93.png" /><Relationship Type="http://schemas.openxmlformats.org/officeDocument/2006/relationships/image" Id="rId12" Target="media/rId12.jpg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15" Target="media/rId15.jpg" /><Relationship Type="http://schemas.openxmlformats.org/officeDocument/2006/relationships/image" Id="rId98" Target="media/rId98.png" /><Relationship Type="http://schemas.openxmlformats.org/officeDocument/2006/relationships/image" Id="rId73" Target="media/rId73.png" /><Relationship Type="http://schemas.openxmlformats.org/officeDocument/2006/relationships/hyperlink" Id="rId44" Target="https://creativecommons.org/licenses/by-nc-nd/4.0/" TargetMode="External" /><Relationship Type="http://schemas.openxmlformats.org/officeDocument/2006/relationships/hyperlink" Id="rId40" Target="https://creativecommons.org/licenses/by-nc-sa/4.0/" TargetMode="External" /><Relationship Type="http://schemas.openxmlformats.org/officeDocument/2006/relationships/hyperlink" Id="rId36" Target="https://creativecommons.org/licenses/by-nc/4.0/" TargetMode="External" /><Relationship Type="http://schemas.openxmlformats.org/officeDocument/2006/relationships/hyperlink" Id="rId32" Target="https://creativecommons.org/licenses/by-nd/4.0/" TargetMode="Externa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4" Target="https://creativecommons.org/licenses/by/4.0/" TargetMode="External" /><Relationship Type="http://schemas.openxmlformats.org/officeDocument/2006/relationships/hyperlink" Id="rId142" Target="https://doi.org/10.1002/anie.200901479" TargetMode="External" /><Relationship Type="http://schemas.openxmlformats.org/officeDocument/2006/relationships/hyperlink" Id="rId183" Target="https://doi.org/10.1002/jcc.21596" TargetMode="External" /><Relationship Type="http://schemas.openxmlformats.org/officeDocument/2006/relationships/hyperlink" Id="rId144" Target="https://doi.org/10.1016/S0140-6736(21)02724-0" TargetMode="External" /><Relationship Type="http://schemas.openxmlformats.org/officeDocument/2006/relationships/hyperlink" Id="rId164" Target="https://doi.org/10.1016/j.ab.2025.115890" TargetMode="External" /><Relationship Type="http://schemas.openxmlformats.org/officeDocument/2006/relationships/hyperlink" Id="rId122" Target="https://doi.org/10.1016/j.aca.2014.10.038" TargetMode="External" /><Relationship Type="http://schemas.openxmlformats.org/officeDocument/2006/relationships/hyperlink" Id="rId124" Target="https://doi.org/10.1016/j.ijbiomac.2024.133935" TargetMode="External" /><Relationship Type="http://schemas.openxmlformats.org/officeDocument/2006/relationships/hyperlink" Id="rId158" Target="https://doi.org/10.1016/j.snb.2022.132044" TargetMode="External" /><Relationship Type="http://schemas.openxmlformats.org/officeDocument/2006/relationships/hyperlink" Id="rId168" Target="https://doi.org/10.1016/j.trac.2022.116767" TargetMode="External" /><Relationship Type="http://schemas.openxmlformats.org/officeDocument/2006/relationships/hyperlink" Id="rId138" Target="https://doi.org/10.1021/acs.analchem.2c03399" TargetMode="External" /><Relationship Type="http://schemas.openxmlformats.org/officeDocument/2006/relationships/hyperlink" Id="rId185" Target="https://doi.org/10.1021/acsami.5b00199" TargetMode="External" /><Relationship Type="http://schemas.openxmlformats.org/officeDocument/2006/relationships/hyperlink" Id="rId154" Target="https://doi.org/10.1021/acsnano.6b04110" TargetMode="External" /><Relationship Type="http://schemas.openxmlformats.org/officeDocument/2006/relationships/hyperlink" Id="rId112" Target="https://doi.org/10.1021/acssensors.8b00344" TargetMode="External" /><Relationship Type="http://schemas.openxmlformats.org/officeDocument/2006/relationships/hyperlink" Id="rId118" Target="https://doi.org/10.1038/346818a0" TargetMode="External" /><Relationship Type="http://schemas.openxmlformats.org/officeDocument/2006/relationships/hyperlink" Id="rId166" Target="https://doi.org/10.1038/35023079" TargetMode="External" /><Relationship Type="http://schemas.openxmlformats.org/officeDocument/2006/relationships/hyperlink" Id="rId120" Target="https://doi.org/10.1038/nature01097" TargetMode="External" /><Relationship Type="http://schemas.openxmlformats.org/officeDocument/2006/relationships/hyperlink" Id="rId148" Target="https://doi.org/10.1038/nature04332" TargetMode="External" /><Relationship Type="http://schemas.openxmlformats.org/officeDocument/2006/relationships/hyperlink" Id="rId162" Target="https://doi.org/10.1038/nmat1967" TargetMode="External" /><Relationship Type="http://schemas.openxmlformats.org/officeDocument/2006/relationships/hyperlink" Id="rId126" Target="https://doi.org/10.1038/s41467-020-15330-9" TargetMode="External" /><Relationship Type="http://schemas.openxmlformats.org/officeDocument/2006/relationships/hyperlink" Id="rId130" Target="https://doi.org/10.1038/s41586-021-03819-2" TargetMode="External" /><Relationship Type="http://schemas.openxmlformats.org/officeDocument/2006/relationships/hyperlink" Id="rId108" Target="https://doi.org/10.1038/s41586-024-07487-w" TargetMode="External" /><Relationship Type="http://schemas.openxmlformats.org/officeDocument/2006/relationships/hyperlink" Id="rId134" Target="https://doi.org/10.1038/s41598-020-77221-9" TargetMode="External" /><Relationship Type="http://schemas.openxmlformats.org/officeDocument/2006/relationships/hyperlink" Id="rId132" Target="https://doi.org/10.1093/molbev/mst010" TargetMode="External" /><Relationship Type="http://schemas.openxmlformats.org/officeDocument/2006/relationships/hyperlink" Id="rId174" Target="https://doi.org/10.1093/nar/gkp892" TargetMode="External" /><Relationship Type="http://schemas.openxmlformats.org/officeDocument/2006/relationships/hyperlink" Id="rId176" Target="https://doi.org/10.1093/nar/gks596" TargetMode="External" /><Relationship Type="http://schemas.openxmlformats.org/officeDocument/2006/relationships/hyperlink" Id="rId180" Target="https://doi.org/10.1101/2024.11.19.624167" TargetMode="External" /><Relationship Type="http://schemas.openxmlformats.org/officeDocument/2006/relationships/hyperlink" Id="rId150" Target="https://doi.org/10.1126/science.1102896" TargetMode="External" /><Relationship Type="http://schemas.openxmlformats.org/officeDocument/2006/relationships/hyperlink" Id="rId172" Target="https://doi.org/10.1126/science.2200121" TargetMode="External" /><Relationship Type="http://schemas.openxmlformats.org/officeDocument/2006/relationships/hyperlink" Id="rId146" Target="https://doi.org/10.1126/science.aao6750" TargetMode="External" /><Relationship Type="http://schemas.openxmlformats.org/officeDocument/2006/relationships/hyperlink" Id="rId136" Target="https://doi.org/10.1128/JCM.00476-17" TargetMode="External" /><Relationship Type="http://schemas.openxmlformats.org/officeDocument/2006/relationships/hyperlink" Id="rId114" Target="https://doi.org/10.1128/JCM.02498-06" TargetMode="External" /><Relationship Type="http://schemas.openxmlformats.org/officeDocument/2006/relationships/hyperlink" Id="rId152" Target="https://doi.org/10.1128/JCM.40.7.2545-2554.2002" TargetMode="External" /><Relationship Type="http://schemas.openxmlformats.org/officeDocument/2006/relationships/hyperlink" Id="rId110" Target="https://doi.org/10.1128/jcm.30.7.1654-1660.1992" TargetMode="External" /><Relationship Type="http://schemas.openxmlformats.org/officeDocument/2006/relationships/hyperlink" Id="rId116" Target="https://doi.org/10.1128/jcm.35.6.1295-1299.1997" TargetMode="External" /><Relationship Type="http://schemas.openxmlformats.org/officeDocument/2006/relationships/hyperlink" Id="rId160" Target="https://doi.org/10.1146/annurev.biophys.32.110601.141800" TargetMode="External" /><Relationship Type="http://schemas.openxmlformats.org/officeDocument/2006/relationships/hyperlink" Id="rId178" Target="https://doi.org/10.3109/10409239109114069" TargetMode="External" /><Relationship Type="http://schemas.openxmlformats.org/officeDocument/2006/relationships/hyperlink" Id="rId156" Target="https://doi.org/10.3390/bios11010024" TargetMode="External" /><Relationship Type="http://schemas.openxmlformats.org/officeDocument/2006/relationships/hyperlink" Id="rId170" Target="https://github.com/Lattice-Automation/seqfold" TargetMode="External" /><Relationship Type="http://schemas.openxmlformats.org/officeDocument/2006/relationships/hyperlink" Id="rId140" Target="https://github.com/anasfplima/ViruScope" TargetMode="External" /><Relationship Type="http://schemas.openxmlformats.org/officeDocument/2006/relationships/hyperlink" Id="rId128" Target="https://www.idtdna.com/pages/tools/oligoanaly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reativecommons.org/licenses/by-nc-nd/4.0/" TargetMode="External" /><Relationship Type="http://schemas.openxmlformats.org/officeDocument/2006/relationships/hyperlink" Id="rId40" Target="https://creativecommons.org/licenses/by-nc-sa/4.0/" TargetMode="External" /><Relationship Type="http://schemas.openxmlformats.org/officeDocument/2006/relationships/hyperlink" Id="rId36" Target="https://creativecommons.org/licenses/by-nc/4.0/" TargetMode="External" /><Relationship Type="http://schemas.openxmlformats.org/officeDocument/2006/relationships/hyperlink" Id="rId32" Target="https://creativecommons.org/licenses/by-nd/4.0/" TargetMode="Externa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4" Target="https://creativecommons.org/licenses/by/4.0/" TargetMode="External" /><Relationship Type="http://schemas.openxmlformats.org/officeDocument/2006/relationships/hyperlink" Id="rId142" Target="https://doi.org/10.1002/anie.200901479" TargetMode="External" /><Relationship Type="http://schemas.openxmlformats.org/officeDocument/2006/relationships/hyperlink" Id="rId183" Target="https://doi.org/10.1002/jcc.21596" TargetMode="External" /><Relationship Type="http://schemas.openxmlformats.org/officeDocument/2006/relationships/hyperlink" Id="rId144" Target="https://doi.org/10.1016/S0140-6736(21)02724-0" TargetMode="External" /><Relationship Type="http://schemas.openxmlformats.org/officeDocument/2006/relationships/hyperlink" Id="rId164" Target="https://doi.org/10.1016/j.ab.2025.115890" TargetMode="External" /><Relationship Type="http://schemas.openxmlformats.org/officeDocument/2006/relationships/hyperlink" Id="rId122" Target="https://doi.org/10.1016/j.aca.2014.10.038" TargetMode="External" /><Relationship Type="http://schemas.openxmlformats.org/officeDocument/2006/relationships/hyperlink" Id="rId124" Target="https://doi.org/10.1016/j.ijbiomac.2024.133935" TargetMode="External" /><Relationship Type="http://schemas.openxmlformats.org/officeDocument/2006/relationships/hyperlink" Id="rId158" Target="https://doi.org/10.1016/j.snb.2022.132044" TargetMode="External" /><Relationship Type="http://schemas.openxmlformats.org/officeDocument/2006/relationships/hyperlink" Id="rId168" Target="https://doi.org/10.1016/j.trac.2022.116767" TargetMode="External" /><Relationship Type="http://schemas.openxmlformats.org/officeDocument/2006/relationships/hyperlink" Id="rId138" Target="https://doi.org/10.1021/acs.analchem.2c03399" TargetMode="External" /><Relationship Type="http://schemas.openxmlformats.org/officeDocument/2006/relationships/hyperlink" Id="rId185" Target="https://doi.org/10.1021/acsami.5b00199" TargetMode="External" /><Relationship Type="http://schemas.openxmlformats.org/officeDocument/2006/relationships/hyperlink" Id="rId154" Target="https://doi.org/10.1021/acsnano.6b04110" TargetMode="External" /><Relationship Type="http://schemas.openxmlformats.org/officeDocument/2006/relationships/hyperlink" Id="rId112" Target="https://doi.org/10.1021/acssensors.8b00344" TargetMode="External" /><Relationship Type="http://schemas.openxmlformats.org/officeDocument/2006/relationships/hyperlink" Id="rId118" Target="https://doi.org/10.1038/346818a0" TargetMode="External" /><Relationship Type="http://schemas.openxmlformats.org/officeDocument/2006/relationships/hyperlink" Id="rId166" Target="https://doi.org/10.1038/35023079" TargetMode="External" /><Relationship Type="http://schemas.openxmlformats.org/officeDocument/2006/relationships/hyperlink" Id="rId120" Target="https://doi.org/10.1038/nature01097" TargetMode="External" /><Relationship Type="http://schemas.openxmlformats.org/officeDocument/2006/relationships/hyperlink" Id="rId148" Target="https://doi.org/10.1038/nature04332" TargetMode="External" /><Relationship Type="http://schemas.openxmlformats.org/officeDocument/2006/relationships/hyperlink" Id="rId162" Target="https://doi.org/10.1038/nmat1967" TargetMode="External" /><Relationship Type="http://schemas.openxmlformats.org/officeDocument/2006/relationships/hyperlink" Id="rId126" Target="https://doi.org/10.1038/s41467-020-15330-9" TargetMode="External" /><Relationship Type="http://schemas.openxmlformats.org/officeDocument/2006/relationships/hyperlink" Id="rId130" Target="https://doi.org/10.1038/s41586-021-03819-2" TargetMode="External" /><Relationship Type="http://schemas.openxmlformats.org/officeDocument/2006/relationships/hyperlink" Id="rId108" Target="https://doi.org/10.1038/s41586-024-07487-w" TargetMode="External" /><Relationship Type="http://schemas.openxmlformats.org/officeDocument/2006/relationships/hyperlink" Id="rId134" Target="https://doi.org/10.1038/s41598-020-77221-9" TargetMode="External" /><Relationship Type="http://schemas.openxmlformats.org/officeDocument/2006/relationships/hyperlink" Id="rId132" Target="https://doi.org/10.1093/molbev/mst010" TargetMode="External" /><Relationship Type="http://schemas.openxmlformats.org/officeDocument/2006/relationships/hyperlink" Id="rId174" Target="https://doi.org/10.1093/nar/gkp892" TargetMode="External" /><Relationship Type="http://schemas.openxmlformats.org/officeDocument/2006/relationships/hyperlink" Id="rId176" Target="https://doi.org/10.1093/nar/gks596" TargetMode="External" /><Relationship Type="http://schemas.openxmlformats.org/officeDocument/2006/relationships/hyperlink" Id="rId180" Target="https://doi.org/10.1101/2024.11.19.624167" TargetMode="External" /><Relationship Type="http://schemas.openxmlformats.org/officeDocument/2006/relationships/hyperlink" Id="rId150" Target="https://doi.org/10.1126/science.1102896" TargetMode="External" /><Relationship Type="http://schemas.openxmlformats.org/officeDocument/2006/relationships/hyperlink" Id="rId172" Target="https://doi.org/10.1126/science.2200121" TargetMode="External" /><Relationship Type="http://schemas.openxmlformats.org/officeDocument/2006/relationships/hyperlink" Id="rId146" Target="https://doi.org/10.1126/science.aao6750" TargetMode="External" /><Relationship Type="http://schemas.openxmlformats.org/officeDocument/2006/relationships/hyperlink" Id="rId136" Target="https://doi.org/10.1128/JCM.00476-17" TargetMode="External" /><Relationship Type="http://schemas.openxmlformats.org/officeDocument/2006/relationships/hyperlink" Id="rId114" Target="https://doi.org/10.1128/JCM.02498-06" TargetMode="External" /><Relationship Type="http://schemas.openxmlformats.org/officeDocument/2006/relationships/hyperlink" Id="rId152" Target="https://doi.org/10.1128/JCM.40.7.2545-2554.2002" TargetMode="External" /><Relationship Type="http://schemas.openxmlformats.org/officeDocument/2006/relationships/hyperlink" Id="rId110" Target="https://doi.org/10.1128/jcm.30.7.1654-1660.1992" TargetMode="External" /><Relationship Type="http://schemas.openxmlformats.org/officeDocument/2006/relationships/hyperlink" Id="rId116" Target="https://doi.org/10.1128/jcm.35.6.1295-1299.1997" TargetMode="External" /><Relationship Type="http://schemas.openxmlformats.org/officeDocument/2006/relationships/hyperlink" Id="rId160" Target="https://doi.org/10.1146/annurev.biophys.32.110601.141800" TargetMode="External" /><Relationship Type="http://schemas.openxmlformats.org/officeDocument/2006/relationships/hyperlink" Id="rId178" Target="https://doi.org/10.3109/10409239109114069" TargetMode="External" /><Relationship Type="http://schemas.openxmlformats.org/officeDocument/2006/relationships/hyperlink" Id="rId156" Target="https://doi.org/10.3390/bios11010024" TargetMode="External" /><Relationship Type="http://schemas.openxmlformats.org/officeDocument/2006/relationships/hyperlink" Id="rId170" Target="https://github.com/Lattice-Automation/seqfold" TargetMode="External" /><Relationship Type="http://schemas.openxmlformats.org/officeDocument/2006/relationships/hyperlink" Id="rId140" Target="https://github.com/anasfplima/ViruScope" TargetMode="External" /><Relationship Type="http://schemas.openxmlformats.org/officeDocument/2006/relationships/hyperlink" Id="rId128" Target="https://www.idtdna.com/pages/tools/oligoanaly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Romeu Alexandre Ribeiro Fernandes</dc:creator>
  <cp:keywords/>
  <dcterms:created xsi:type="dcterms:W3CDTF">2026-08-12T17:17:29Z</dcterms:created>
  <dcterms:modified xsi:type="dcterms:W3CDTF">2026-08-12T17:17:29Z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