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Computational Discovery of DNA Probe-Graphene Sensors</w:t>
      </w:r>
    </w:p>
    <w:p>
      <w:r>
        <w:rPr>
          <w:i/>
        </w:rPr>
        <w:t>Romeu Alexandre Ribeiro Fernandes — Master's Dissertation in Bioinformatics, University of Minho</w:t>
      </w:r>
    </w:p>
    <w:p>
      <w:r>
        <w:rPr>
          <w:color w:val="666666"/>
          <w:sz w:val="18"/>
        </w:rPr>
        <w:t>Working copy exported from the LaTeX sources for review; the compiled PDF remains the authoritative document.</w:t>
      </w:r>
    </w:p>
    <w:p>
      <w:r>
        <w:br w:type="page"/>
      </w:r>
    </w:p>
    <w:p>
      <w:pPr>
        <w:pStyle w:val="Heading1"/>
      </w:pPr>
      <w:r>
        <w:t>Abstract</w:t>
      </w:r>
    </w:p>
    <w:p>
      <w:r>
        <w:t>Rapid and reliable detection of microbial DNA is central to clinical diagnostics, antimicrobial-resistance surveillance and environmental monitoring, yet the dominant amplification-based methods require laboratory infrastructure that limits their use at the point of care. Graphene field-effect transistor (GFET) biosensors, functionalised with single-stranded DNA recognition elements, offer a compelling label-free alternative, converting the hybridisation of a target sequence at the graphene surface into a measurable electrical signal. The bottleneck of this approach is the recognition sequence: identifying, for each pathogen, probe candidates that are conserved across strains, hybridise favourably, and are free of stable self-structure, without resorting to costly and low-throughput experimental screening of hundreds of candidates.</w:t>
      </w:r>
    </w:p>
    <w:p>
      <w:r>
        <w:t>This dissertation addresses that bottleneck with a reproducible computational pipeline for the discovery of DNA probe candidates for GFET biosensors, developed for a panel of clinically relevant bacterial marker genes. From sequences retrieved from the NCBI databases, the pipeline performs automatic length clustering, multiple sequence alignment with MAFFT, and per-column conservation scoring based on the Percentage of Pairwise Identity. Sliding-window candidates are screened with nearest-neighbour thermodynamics (melting temperature, GC content, hairpin and homodimer free energies) and evaluated for secondary structure, condensed into a continuous “No-fold” score. All thresholds are resolved through an organism-aware, layered scheme (gene, species and organism type), so that pathogens with very different genome composition are judged fairly. The highest-quality candidates are prioritised and validated three-dimensionally, and a curated, feature-rich dataset of the best candidates per gene is produced.</w:t>
      </w:r>
    </w:p>
    <w:p>
      <w:r>
        <w:t>Applied to the six-gene panel, with every thermodynamic quantity computed in 1× phosphate-buffered saline, the buffer whose ionic composition is closest to that of physiological fluids, the pipeline reduced 7661 candidate windows to 2439 that passed thermodynamic and structural screening, from which the best probes per gene were validated in 3D. Alignment-free diversity and rarefaction analyses characterised each target and justified the sampling depth. The result is a prioritised, biophysically sound set of probe candidates and a reproducible framework that provides the sequence-level foundation for the rational design of DNA probe–graphene GFET biosensors, and that generalises to new genes and organisms with minimal configuration.</w:t>
      </w:r>
    </w:p>
    <w:p>
      <w:r>
        <w:rPr>
          <w:b/>
        </w:rPr>
        <w:t xml:space="preserve">Keywords </w:t>
      </w:r>
      <w:r>
        <w:t>DNA probe, graphene biosensor, graphene field-effect transistor (GFET), label-free detection, microbial DNA detection, point-of-care diagnostics, probe design, sequence conservation, multiple sequence alignment, melting temperature, secondary structure, No-fold score, 3D structure prediction, Debye length</w:t>
      </w:r>
    </w:p>
    <w:p>
      <w:r>
        <w:br w:type="page"/>
      </w:r>
    </w:p>
    <w:p>
      <w:pPr>
        <w:pStyle w:val="Heading1"/>
      </w:pPr>
      <w:r>
        <w:t>Resumo</w:t>
      </w:r>
    </w:p>
    <w:p>
      <w:r>
        <w:t>A deteção rápida e fiável de DNA microbiano é central para o diagnóstico clínico, a vigilância da resistência antimicrobiana e a monitorização ambiental, mas os métodos dominantes, baseados em amplificação, exigem infraestrutura laboratorial que limita o seu uso no local de prestação de cuidados. Os biossensores baseados em transístores de efeito de campo de grafeno (GFET), funcionalizados com elementos de reconhecimento de DNA de cadeia simples, oferecem uma alternativa sem marcação apelativa, convertendo a hibridação de uma sequência-alvo à superfície do grafeno num sinal elétrico mensurável. O estrangulamento desta abordagem é a sequência de reconhecimento: identificar, para cada agente patogénico, sondas candidatas que sejam conservadas entre estirpes, hibridem favoravelmente e estejam livres de estrutura secundária estável, sem recorrer à triagem experimental dispendiosa e de baixo débito de centenas de candidatas.</w:t>
      </w:r>
    </w:p>
    <w:p>
      <w:r>
        <w:t>Esta dissertação aborda esse estrangulamento com um pipeline computacional reprodutível para a descoberta de sondas de DNA candidatas para biossensores GFET, desenvolvido para um painel de genes marcadores bacterianos clinicamente relevantes. A partir de sequências obtidas nas bases de dados do NCBI, o pipeline realiza a seleção automática do agrupamento de comprimento, o alinhamento múltiplo com o MAFFT e a pontuação de conservação por coluna baseada na Percentagem de Identidade Par-a-Par. As candidatas, geradas por janela deslizante, são filtradas com termodinâmica de vizinhos mais próximos (temperatura de fusão, conteúdo em GC, energias de hairpin e homodímero) e avaliadas quanto à estrutura secundária, condensada num score contínuo “No-fold”. Todos os limiares são resolvidos através de um esquema em camadas e sensível ao organismo (gene, espécie e tipo de organismo), para que agentes patogénicos com composição genómica muito distinta sejam avaliados de forma justa. As candidatas de maior qualidade são priorizadas e validadas tridimensionalmente, e é produzido um conjunto de dados curado e rico em atributos com as melhores candidatas por gene.</w:t>
      </w:r>
    </w:p>
    <w:p>
      <w:r>
        <w:t>Aplicado ao painel de seis genes, com todas as grandezas termodinâmicas calculadas em tampão fosfato-salino 1×, o de composição iónica mais próxima da dos fluidos fisiológicos, o pipeline reduziu 7661 janelas candidatas a 2439 que passaram a triagem termodinâmica e estrutural, a partir das quais as melhores sondas por gene foram validadas em 3D. Análises de diversidade sem alinhamento e de rarefação caracterizaram cada alvo e justificaram a profundidade de amostragem. O resultado é um conjunto priorizado e biofisicamente sólido de sondas candidatas e uma estrutura reprodutível que constitui o alicerce, ao nível da sequência, para o desenho racional de biossensores GFET de sonda de DNA–grafeno, generalizável a novos genes e organismos com configuração mínima.</w:t>
      </w:r>
    </w:p>
    <w:p>
      <w:r>
        <w:rPr>
          <w:b/>
        </w:rPr>
        <w:t xml:space="preserve">Palavras-chave </w:t>
      </w:r>
      <w:r>
        <w:t>sonda de DNA, biossensor de grafeno, transístor de efeito de campo de grafeno (GFET), deteção sem marcação, deteção de DNA microbiano, diagnóstico no local de prestação de cuidados, desenho de sondas, conservação de sequência, alinhamento múltiplo de sequências, temperatura de fusão, estrutura secundária, score No-fold, previsão de estrutura 3D, comprimento de Debye</w:t>
      </w:r>
    </w:p>
    <w:p>
      <w:r>
        <w:br w:type="page"/>
      </w:r>
    </w:p>
    <w:p>
      <w:pPr>
        <w:pStyle w:val="Heading1"/>
      </w:pPr>
      <w:r>
        <w:t>Introduction</w:t>
      </w:r>
    </w:p>
    <w:p>
      <w:pPr>
        <w:pStyle w:val="Heading2"/>
      </w:pPr>
      <w:r>
        <w:t>Context</w:t>
      </w:r>
    </w:p>
    <w:p>
      <w:r>
        <w:t>Bacterial infections are among the leading causes of death worldwide, and the spread of Antimicrobial Resistance (AMR) is steadily eroding the ability to treat them: an estimated 4.95 million deaths were associated with bacterial AMR in 2019, of which 1.27 million were directly attributable to it (Murray et al., 2022). Rapid identification of the infecting pathogen, and increasingly of its resistance determinants, is therefore central to guiding therapy, to infection control and to public-health surveillance; several of the species targeted in this work feature on the WHO Bacterial Priority Pathogens List (Organization, 2024).</w:t>
      </w:r>
    </w:p>
    <w:p>
      <w:r>
        <w:t>The fast identification of microbial DNA underpins the diagnosis of infection and the tracking of environmental contamination. Culture-based methods are slow, and although the Polymerase Chain Reaction (PCR) and related amplification techniques are highly sensitive and specific, they require dedicated equipment, controlled laboratory conditions and lengthy sample preparation, which restricts their use outside the laboratory (Hu et al., 2024). This has driven the development of miniaturised solid-state biosensors, which convert a molecular-recognition event directly into an electrical or electrochemical signal and thereby enable rapid, portable and Point-of-Care (PoC) testing (Kozel &amp; Burnham-Marusich, 2017; Krishnan et al., 2023).</w:t>
      </w:r>
    </w:p>
    <w:p>
      <w:r>
        <w:t>Coupling DNA recognition elements to a Graphene Field-Effect Transistor (GFET) has been proposed as a particularly promising route to label-free nucleic-acid detection (Green &amp; Norton, 2015). Graphene, a two-dimensional sheet of carbon isolated in 2004 (Novoselov et al., 2004), has its entire conduction channel exposed at its surface and transduces local charge variations with such sensitivity that even a single adsorbed molecule can be detected (Schedin et al., 2007); when it is functionalised with a single-stranded DNA (ssDNA) probe, the hybridisation of a complementary microbial target modulates the transistor current in a label-free manner. In practice, the probe is anchored to the graphene surface through a linker, such as a pyrene derivative that binds non-covalently by π–π stacking, and target hybridisation shifts the transistor's charge-neutrality (Dirac) point; electrolyte-gated graphene devices of this kind have achieved label-free detection of DNA hybridisation down to the attomolar range (Campos et al., 2019). The performance of such devices, and the influence of the sensing interface and ionic conditions on it, is reviewed in detail in Chapter 2.</w:t>
      </w:r>
    </w:p>
    <w:p>
      <w:r>
        <w:t>The specificity and sensitivity of such a device ultimately depend on the immobilised recognition sequence, which must meet several partly competing requirements: it must target a genomic region that is conserved across the clinical strains of the pathogen, so that strain variation does not cause false negatives; it must hybridise strongly and specifically at the assay temperature, which constrains its length, melting temperature and GC content; and it must avoid folding into stable hairpins or self-dimers that would compete with hybridisation. These requirements are biophysical and quantifiable, which makes them amenable to systematic computational evaluation.</w:t>
      </w:r>
    </w:p>
    <w:p>
      <w:r>
        <w:t>Building on these experimental developments, a central practical obstacle remains: the high cost and low throughput of experimentally testing hundreds of candidate probes in order to discriminate multiple pathogenic species. This motivates a complementary computational screening strategy that can prioritise a small number of promising candidates before any experimental effort is spent.</w:t>
      </w:r>
    </w:p>
    <w:p>
      <w:pPr>
        <w:pStyle w:val="Heading2"/>
      </w:pPr>
      <w:r>
        <w:t>Problem statement</w:t>
      </w:r>
    </w:p>
    <w:p>
      <w:r>
        <w:t>The scientific problem addressed in this dissertation is how to computationally discover and prioritise DNA probe candidates that recognise specific microbial DNA sequences and are suitable for transduction on a GFET. This requires analysing the sequence and structural features — genomic conservation, hybridisation thermodynamics and self-structure — that determine whether a probe will bind its target strongly and specifically across clinical strains, and doing so in a reproducible, automated way that scales across many genes and organisms of very different genome composition (Green &amp; Norton, 2015; Campos et al., 2019).</w:t>
      </w:r>
    </w:p>
    <w:p>
      <w:pPr>
        <w:pStyle w:val="Heading2"/>
      </w:pPr>
      <w:r>
        <w:t>Objectives</w:t>
      </w:r>
    </w:p>
    <w:p>
      <w:r>
        <w:t>The main objective is to build a reproducible computational pipeline that turns a target gene into a small set of ranked, biophysically validated ssDNA probe candidates for GFET biosensing. This decomposes into the following specific objectives:</w:t>
      </w:r>
    </w:p>
    <w:p>
      <w:pPr>
        <w:pStyle w:val="ListBullet"/>
      </w:pPr>
      <w:r>
        <w:t>select a panel of clinically relevant microbial targets and marker genes, and automate the retrieval and curation of their sequences from the NCBI databases;</w:t>
      </w:r>
    </w:p>
    <w:p>
      <w:pPr>
        <w:pStyle w:val="ListBullet"/>
      </w:pPr>
      <w:r>
        <w:t>identify conserved regions through multiple sequence alignment and per-column conservation scoring, so that the probes detect their target across clinical strains;</w:t>
      </w:r>
    </w:p>
    <w:p>
      <w:pPr>
        <w:pStyle w:val="ListBullet"/>
      </w:pPr>
      <w:r>
        <w:t>screen candidate probes with well-founded biophysical criteria (melting temperature, GC content, hairpin, homodimer and secondary-structure stability) and combine them into transparent quality scores;</w:t>
      </w:r>
    </w:p>
    <w:p>
      <w:pPr>
        <w:pStyle w:val="ListBullet"/>
      </w:pPr>
      <w:r>
        <w:t>make the design criteria organism-aware, so that targets with very different genome composition (AT-rich or GC-rich) are evaluated fairly;</w:t>
      </w:r>
    </w:p>
    <w:p>
      <w:pPr>
        <w:pStyle w:val="ListBullet"/>
      </w:pPr>
      <w:r>
        <w:t>prioritise and validate the most promising candidates by three-dimensional structure prediction; and</w:t>
      </w:r>
    </w:p>
    <w:p>
      <w:pPr>
        <w:pStyle w:val="ListBullet"/>
      </w:pPr>
      <w:r>
        <w:t>produce curated, feature-rich datasets of the prioritised probe candidates.</w:t>
      </w:r>
    </w:p>
    <w:p>
      <w:pPr>
        <w:pStyle w:val="Heading2"/>
      </w:pPr>
      <w:r>
        <w:t>Target panel</w:t>
      </w:r>
    </w:p>
    <w:p>
      <w:r>
        <w:t>Six marker genes from six clinically important bacterial species were used as the working panel throughout this work (Table 1.1). Several are established targets for the molecular detection of their species: the thermonuclease gene nuc for Staphylococcus aureus (Brakstad et al., 1992), the autolysin gene lytA for Streptococcus pneumoniae (Carvalho et al., 2007), and the outer-membrane lipoprotein gene oprL for Pseudomonas aeruginosa (De Vos et al., 1997). The panel spans a wide range of genome composition — from AT-rich (Staphylococcus aureus, Haemophilus influenzae) to GC-rich (Pseudomonas aeruginosa) — which makes it a demanding test of a general-purpose design method.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w:t>
            </w:r>
          </w:p>
        </w:tc>
        <w:tc>
          <w:tcPr>
            <w:tcW w:type="dxa" w:w="2160"/>
          </w:tcPr>
          <w:p>
            <w:r>
              <w:rPr>
                <w:b/>
                <w:sz w:val="18"/>
              </w:rPr>
              <w:t>Organism</w:t>
            </w:r>
          </w:p>
        </w:tc>
        <w:tc>
          <w:tcPr>
            <w:tcW w:type="dxa" w:w="2160"/>
          </w:tcPr>
          <w:p>
            <w:r>
              <w:rPr>
                <w:b/>
                <w:sz w:val="18"/>
              </w:rPr>
              <w:t>Group</w:t>
            </w:r>
          </w:p>
        </w:tc>
        <w:tc>
          <w:tcPr>
            <w:tcW w:type="dxa" w:w="2160"/>
          </w:tcPr>
          <w:p>
            <w:r>
              <w:rPr>
                <w:b/>
                <w:sz w:val="18"/>
              </w:rPr>
              <w:t>Function</w:t>
            </w:r>
          </w:p>
        </w:tc>
      </w:tr>
      <w:tr>
        <w:tc>
          <w:tcPr>
            <w:tcW w:type="dxa" w:w="2160"/>
          </w:tcPr>
          <w:p>
            <w:r>
              <w:rPr>
                <w:sz w:val="18"/>
              </w:rPr>
              <w:t>nuc</w:t>
            </w:r>
          </w:p>
        </w:tc>
        <w:tc>
          <w:tcPr>
            <w:tcW w:type="dxa" w:w="2160"/>
          </w:tcPr>
          <w:p>
            <w:r>
              <w:rPr>
                <w:sz w:val="18"/>
              </w:rPr>
              <w:t>Staphylococcus aureus</w:t>
            </w:r>
          </w:p>
        </w:tc>
        <w:tc>
          <w:tcPr>
            <w:tcW w:type="dxa" w:w="2160"/>
          </w:tcPr>
          <w:p>
            <w:r>
              <w:rPr>
                <w:sz w:val="18"/>
              </w:rPr>
              <w:t>A</w:t>
            </w:r>
          </w:p>
        </w:tc>
        <w:tc>
          <w:tcPr>
            <w:tcW w:type="dxa" w:w="2160"/>
          </w:tcPr>
          <w:p>
            <w:r>
              <w:rPr>
                <w:sz w:val="18"/>
              </w:rPr>
              <w:t>thermonuclease</w:t>
            </w:r>
          </w:p>
        </w:tc>
      </w:tr>
      <w:tr>
        <w:tc>
          <w:tcPr>
            <w:tcW w:type="dxa" w:w="2160"/>
          </w:tcPr>
          <w:p>
            <w:r>
              <w:rPr>
                <w:sz w:val="18"/>
              </w:rPr>
              <w:t>rmpM</w:t>
            </w:r>
          </w:p>
        </w:tc>
        <w:tc>
          <w:tcPr>
            <w:tcW w:type="dxa" w:w="2160"/>
          </w:tcPr>
          <w:p>
            <w:r>
              <w:rPr>
                <w:sz w:val="18"/>
              </w:rPr>
              <w:t>Neisseria meningitidis</w:t>
            </w:r>
          </w:p>
        </w:tc>
        <w:tc>
          <w:tcPr>
            <w:tcW w:type="dxa" w:w="2160"/>
          </w:tcPr>
          <w:p>
            <w:r>
              <w:rPr>
                <w:sz w:val="18"/>
              </w:rPr>
              <w:t>A</w:t>
            </w:r>
          </w:p>
        </w:tc>
        <w:tc>
          <w:tcPr>
            <w:tcW w:type="dxa" w:w="2160"/>
          </w:tcPr>
          <w:p>
            <w:r>
              <w:rPr>
                <w:sz w:val="18"/>
              </w:rPr>
              <w:t>class-4 outer-membrane protein</w:t>
            </w:r>
          </w:p>
        </w:tc>
      </w:tr>
      <w:tr>
        <w:tc>
          <w:tcPr>
            <w:tcW w:type="dxa" w:w="2160"/>
          </w:tcPr>
          <w:p>
            <w:r>
              <w:rPr>
                <w:sz w:val="18"/>
              </w:rPr>
              <w:t>lytA</w:t>
            </w:r>
          </w:p>
        </w:tc>
        <w:tc>
          <w:tcPr>
            <w:tcW w:type="dxa" w:w="2160"/>
          </w:tcPr>
          <w:p>
            <w:r>
              <w:rPr>
                <w:sz w:val="18"/>
              </w:rPr>
              <w:t>Streptococcus pneumoniae</w:t>
            </w:r>
          </w:p>
        </w:tc>
        <w:tc>
          <w:tcPr>
            <w:tcW w:type="dxa" w:w="2160"/>
          </w:tcPr>
          <w:p>
            <w:r>
              <w:rPr>
                <w:sz w:val="18"/>
              </w:rPr>
              <w:t>B</w:t>
            </w:r>
          </w:p>
        </w:tc>
        <w:tc>
          <w:tcPr>
            <w:tcW w:type="dxa" w:w="2160"/>
          </w:tcPr>
          <w:p>
            <w:r>
              <w:rPr>
                <w:sz w:val="18"/>
              </w:rPr>
              <w:t>autolysin</w:t>
            </w:r>
          </w:p>
        </w:tc>
      </w:tr>
      <w:tr>
        <w:tc>
          <w:tcPr>
            <w:tcW w:type="dxa" w:w="2160"/>
          </w:tcPr>
          <w:p>
            <w:r>
              <w:rPr>
                <w:sz w:val="18"/>
              </w:rPr>
              <w:t>oprL</w:t>
            </w:r>
          </w:p>
        </w:tc>
        <w:tc>
          <w:tcPr>
            <w:tcW w:type="dxa" w:w="2160"/>
          </w:tcPr>
          <w:p>
            <w:r>
              <w:rPr>
                <w:sz w:val="18"/>
              </w:rPr>
              <w:t>Pseudomonas aeruginosa</w:t>
            </w:r>
          </w:p>
        </w:tc>
        <w:tc>
          <w:tcPr>
            <w:tcW w:type="dxa" w:w="2160"/>
          </w:tcPr>
          <w:p>
            <w:r>
              <w:rPr>
                <w:sz w:val="18"/>
              </w:rPr>
              <w:t>B</w:t>
            </w:r>
          </w:p>
        </w:tc>
        <w:tc>
          <w:tcPr>
            <w:tcW w:type="dxa" w:w="2160"/>
          </w:tcPr>
          <w:p>
            <w:r>
              <w:rPr>
                <w:sz w:val="18"/>
              </w:rPr>
              <w:t>peptidoglycan-associated lipoprotein</w:t>
            </w:r>
          </w:p>
        </w:tc>
      </w:tr>
      <w:tr>
        <w:tc>
          <w:tcPr>
            <w:tcW w:type="dxa" w:w="2160"/>
          </w:tcPr>
          <w:p>
            <w:r>
              <w:rPr>
                <w:sz w:val="18"/>
              </w:rPr>
              <w:t>algD</w:t>
            </w:r>
          </w:p>
        </w:tc>
        <w:tc>
          <w:tcPr>
            <w:tcW w:type="dxa" w:w="2160"/>
          </w:tcPr>
          <w:p>
            <w:r>
              <w:rPr>
                <w:sz w:val="18"/>
              </w:rPr>
              <w:t>Pseudomonas aeruginosa</w:t>
            </w:r>
          </w:p>
        </w:tc>
        <w:tc>
          <w:tcPr>
            <w:tcW w:type="dxa" w:w="2160"/>
          </w:tcPr>
          <w:p>
            <w:r>
              <w:rPr>
                <w:sz w:val="18"/>
              </w:rPr>
              <w:t>B</w:t>
            </w:r>
          </w:p>
        </w:tc>
        <w:tc>
          <w:tcPr>
            <w:tcW w:type="dxa" w:w="2160"/>
          </w:tcPr>
          <w:p>
            <w:r>
              <w:rPr>
                <w:sz w:val="18"/>
              </w:rPr>
              <w:t>GDP-mannose 6-dehydrogenase</w:t>
            </w:r>
          </w:p>
        </w:tc>
      </w:tr>
      <w:tr>
        <w:tc>
          <w:tcPr>
            <w:tcW w:type="dxa" w:w="2160"/>
          </w:tcPr>
          <w:p>
            <w:r>
              <w:rPr>
                <w:sz w:val="18"/>
              </w:rPr>
              <w:t>frdB</w:t>
            </w:r>
          </w:p>
        </w:tc>
        <w:tc>
          <w:tcPr>
            <w:tcW w:type="dxa" w:w="2160"/>
          </w:tcPr>
          <w:p>
            <w:r>
              <w:rPr>
                <w:sz w:val="18"/>
              </w:rPr>
              <w:t>Haemophilus influenzae</w:t>
            </w:r>
          </w:p>
        </w:tc>
        <w:tc>
          <w:tcPr>
            <w:tcW w:type="dxa" w:w="2160"/>
          </w:tcPr>
          <w:p>
            <w:r>
              <w:rPr>
                <w:sz w:val="18"/>
              </w:rPr>
              <w:t>B</w:t>
            </w:r>
          </w:p>
        </w:tc>
        <w:tc>
          <w:tcPr>
            <w:tcW w:type="dxa" w:w="2160"/>
          </w:tcPr>
          <w:p>
            <w:r>
              <w:rPr>
                <w:sz w:val="18"/>
              </w:rPr>
              <w:t>fumarate reductase Fe–S subunit</w:t>
            </w:r>
          </w:p>
        </w:tc>
      </w:tr>
    </w:tbl>
    <w:p>
      <w:pPr>
        <w:spacing w:after="240"/>
      </w:pPr>
      <w:r>
        <w:rPr>
          <w:b/>
          <w:sz w:val="18"/>
        </w:rPr>
        <w:t xml:space="preserve">Table 1.1. </w:t>
      </w:r>
      <w:r>
        <w:rPr>
          <w:sz w:val="18"/>
        </w:rPr>
        <w:t>Target genes and their host organisms used as the working panel.</w:t>
      </w:r>
    </w:p>
    <w:p>
      <w:pPr>
        <w:pStyle w:val="Heading2"/>
      </w:pPr>
      <w:r>
        <w:t>Structure of the dissertation</w:t>
      </w:r>
    </w:p>
    <w:p>
      <w:r>
        <w:t>The remainder of this dissertation is organised as follows. Chapter 2 reviews the state of the art in DNA aptamers and probes, in graphene GFET biosensors for nucleic-acid detection, and in the computational methods used to design and validate probe sequences. Chapter 3 describes the methods, detailing every stage of the pipeline and the rationale for each design decision and threshold. Chapter 4 presents and discusses the results for the target panel — the screening funnel, the three-dimensional validation, the diversity and rarefaction analyses, and the comparison with a reference probe panel. Chapter 5 draws the main conclusions and outlines future work.</w:t>
      </w:r>
    </w:p>
    <w:p>
      <w:r>
        <w:br w:type="page"/>
      </w:r>
    </w:p>
    <w:p>
      <w:pPr>
        <w:pStyle w:val="Heading1"/>
      </w:pPr>
      <w:r>
        <w:t>State of the Art</w:t>
      </w:r>
    </w:p>
    <w:p>
      <w:r>
        <w:t>This chapter reviews the background needed to frame the work. It covers DNA aptamers and probes as recognition elements, graphene GFET biosensors for nucleic-acid detection, the physics of the DNA–graphene interface, and the computational methods used to design and validate probe sequences.</w:t>
      </w:r>
    </w:p>
    <w:p>
      <w:pPr>
        <w:pStyle w:val="Heading2"/>
      </w:pPr>
      <w:r>
        <w:t>DNA aptamers and probes as recognition elements</w:t>
      </w:r>
    </w:p>
    <w:p>
      <w:r>
        <w:t>DNA aptamers are short single-stranded nucleic acids, selected in vitro by Systematic Evolution of Ligands by EXponential enrichment (SELEX) (Tuerk &amp; Gold, 1990; Ellington &amp; Szostak, 1990), that fold into defined structures capable of high-affinity, high-specificity recognition of a target (Stephens et al., 2025; Sun et al., 2022). Cell-SELEX and related variants allow aptamers to be raised against whole microbial cells and complex targets, yielding recognition elements for bacterial surface antigens, toxins and viral components (Kolm et al., 2020; Hu et al., 2024). Because they are chemically synthesised, aptamers and DNA probes are inexpensive, reproducible and easily modified, which makes them well suited to solid-state biosensors and to in silico optimisation (Sun et al., 2022). For the detection of a known microbial DNA sequence, a complementary hybridisation probe is the natural recognition element: it targets a defined genomic region and is captured by Watson–Crick pairing, which is the mechanism exploited throughout this work.</w:t>
      </w:r>
    </w:p>
    <w:p>
      <w:pPr>
        <w:pStyle w:val="Heading2"/>
      </w:pPr>
      <w:r>
        <w:t>Graphene GFET biosensors for DNA detection</w:t>
      </w:r>
    </w:p>
    <w:p>
      <w:r>
        <w:t>Graphene combines very high carrier mobility with a fully surface-exposed conduction channel, so that charges binding at its surface strongly modulate its conductance (Novoselov et al., 2004); the adsorption of even a single molecule can be resolved electrically (Schedin et al., 2007), making it an outstanding transducer for label-free sensing (Krishnan et al., 2023; Green &amp; Norton, 2015), including for nucleic acids at very low concentrations (Hwang et al., 2020). In a Graphene Field-Effect Transistor (GFET), the graphene channel is gated electrolytically, and the hybridisation of a target strand to an immobilised probe shifts the transfer characteristic through the added backbone charge. Electrolyte-gated GFETs functionalised with DNA probes have reached attomolar, label-free detection of hybridisation (Campos et al., 2019), back-gated architectures have enabled scalable device production (Ping et al., 2016), and microfluidic integration has turned such devices into programmable lab-on-chip DNA sensors (Purwidyantri et al., 2022).</w:t>
      </w:r>
    </w:p>
    <w:p>
      <w:r>
        <w:t>A key operating constraint of any electrolyte-gated FET biosensor is the screening of charge by the ions of the solution. Mobile ions in the electrolyte rearrange around any fixed charge and cancel its electric field beyond a characteristic distance, the Debye length λ_D, given by</w:t>
      </w:r>
    </w:p>
    <w:p>
      <w:pPr>
        <w:jc w:val="center"/>
      </w:pPr>
      <w:r>
        <w:t>λ_D = √fracεr ε₀ kB T2 NA e² I,</w:t>
      </w:r>
    </w:p>
    <w:p>
      <w:r>
        <w:t>where εr and ε₀ are the relative and vacuum permittivities, kB T the thermal energy, NA the Avogadro constant, e the elementary charge and I the ionic strength of the solution (Bhattacharyya &amp; Shalev, 2020). Because λ_D scales with I⁻¹/², it shrinks sharply as the buffer becomes more concentrated: only charge within roughly one λ_D of the graphene surface contributes appreciably to the field-effect signal, while charge further away is electrostatically screened. In practice this means that high salt concentration produces strong screening that shortens the effective sensing length and attenuates the signal from charges far from the surface (Purwidyantri et al., 2021); transduction schemes based on target-induced conformational change of the probe have been shown to mitigate this limitation (Nakatsuka et al., 2018). These experimental studies define the device context that the computational design in this dissertation aims to support.</w:t>
      </w:r>
    </w:p>
    <w:p>
      <w:pPr>
        <w:pStyle w:val="Heading2"/>
      </w:pPr>
      <w:r>
        <w:t>The DNA–graphene interface</w:t>
      </w:r>
    </w:p>
    <w:p>
      <w:r>
        <w:t>The behaviour of a GFET DNA sensor is governed by how DNA interacts with graphene. Single-stranded DNA adsorbs strongly and flat onto graphene through π–π stacking of its exposed nucleobases, whereas double-stranded DNA binds much more weakly because base pairing sequesters the bases (Green &amp; Norton, 2015; Krishnan et al., 2023). This contrast is the basis of many transduction schemes: for example, graphene-oxide Förster Resonance Energy Transfer (FRET) aptasensors, in which a single-stranded aptamer adsorbed on Graphene Oxide (GO) is desorbed upon target binding, restoring fluorescence (Lu et al., 2009; Zhu et al., 2015). Adsorption can, however, perturb DNA folding and kinetics, which matters especially for structured recognition elements: a useful probe must retain its ability to hybridise its target while still producing a detectable electronic perturbation at the surface (Green &amp; Norton, 2015).</w:t>
      </w:r>
    </w:p>
    <w:p>
      <w:pPr>
        <w:pStyle w:val="Heading2"/>
      </w:pPr>
      <w:r>
        <w:t>Computational design and validation of probe sequences</w:t>
      </w:r>
    </w:p>
    <w:p>
      <w:r>
        <w:t>Because experimentally screening large numbers of candidate probes is costly and slow, computational methods that link sequence and structure to binding and transduction are increasingly used to design and prioritise candidates (Sun et al., 2022). Several families of criteria are well established. The stability of the probe–target duplex is quantified by its melting temperature (T_m), predicted accurately with the nearest-neighbour thermodynamic model (SantaLucia Jr. &amp; Hicks, 2004), together with GC content and probe length (Wetmur, 1991); tools such as primer3 implement these calculations (Untergasser et al., 2012). Self-structure — hairpins, self-dimers and the overall Minimum Free Energy (MFE) of the single strand — must be minimised, since a folded probe is unavailable for capture; these energies are obtained from nearest-neighbour folding models (Turner &amp; Mathews, 2010; Zadeh et al., 2011; Timmons, 2020). To detect a pathogen across its strains, conserved genomic regions are identified from a Multiple Sequence Alignment (MSA) of many sequences, for which MAFFT is a fast and accurate aligner (Katoh &amp; Standley, 2013); conservation is then scored per column, for example by the Percentage of Pairwise Identity (PPI) adopted from the ViruScope tool (Lima, 2023).</w:t>
      </w:r>
    </w:p>
    <w:p>
      <w:r>
        <w:t>Beyond sequence, deep-learning methods now predict three-dimensional structure with high accuracy. AlphaFold achieved near-experimental protein predictions (Jumper et al., 2021), and AlphaFold 3 extended this to nucleic-acid-containing complexes with per-residue and pairwise confidence estimates (Abramson et al., 2024); open models such as Boltz-1/2 make these predictions freely runnable on commodity GPUs (Wohlwend et al., 2024). Although calibrated primarily for proteins, the predicted structure and the associated confidence of a short ssDNA probe provide a useful, independent check on a computationally selected sequence.</w:t>
      </w:r>
    </w:p>
    <w:p>
      <w:pPr>
        <w:pStyle w:val="Heading2"/>
      </w:pPr>
      <w:r>
        <w:t>Summary</w:t>
      </w:r>
    </w:p>
    <w:p>
      <w:r>
        <w:t>Graphene GFET devices are an excellent, experimentally proven transducer for label-free DNA detection, but their performance hinges on the recognition sequence. The biophysical criteria for a good probe — conservation, favourable hybridisation thermodynamics and absence of stable self-structure — are individually well understood and supported by mature software, yet they are rarely combined into a single, reproducible and organism-aware pipeline that also ranks the candidates and validates them structurally. The methodology presented in the next chapter is designed to address that gap.</w:t>
      </w:r>
    </w:p>
    <w:p>
      <w:r>
        <w:br w:type="page"/>
      </w:r>
    </w:p>
    <w:p>
      <w:pPr>
        <w:pStyle w:val="Heading1"/>
      </w:pPr>
      <w:r>
        <w:t>Methods</w:t>
      </w:r>
    </w:p>
    <w:p>
      <w:r>
        <w:t>The probe-discovery method was implemented as a single, reproducible Python pipeline. Given a target gene, the pipeline proceeds through the stages described below. It is built on Biopython (NCBI access and sequence handling), an external MAFFT executable (alignment), primer3-py (thermodynamics), seqfold (secondary structure) and pandas (tabular output); the three-dimensional validation is run separately with Boltz-2 on a Graphics Processing Unit (GPU). Every design threshold is resolved through a layered scheme that can be overridden per gene, per species and per organism type (Section 3.8).</w:t>
      </w:r>
    </w:p>
    <w:p>
      <w:pPr>
        <w:pStyle w:val="Heading2"/>
      </w:pPr>
      <w:r>
        <w:t>Sequence retrieval from NCBI</w:t>
      </w:r>
    </w:p>
    <w:p>
      <w:r>
        <w:t>For each target, sequences are retrieved from the NCBI nucleotide database through the Entrez interface. An esearch query returns up to a configurable number of identifiers (set to 100 in this work; justified in Section 3.13), which are then fetched with efetch in FASTA format, in batches of 200 identifiers, with short pauses between requests to respect the NCBI rate limit of three requests per second without an API key. Each target defines a primary query combining the gene name, the organism and a sequence-length range; if it returns fewer than two records, the pipeline falls back in turn to one or two broader alternative queries and, failing those, to a fixed RefSeq accession. Records outside a coarse per-gene length range are discarded at this stage. For genes with a single usable record (allowed only for rmpM), a single-sequence mode is used.</w:t>
      </w:r>
    </w:p>
    <w:p>
      <w:pPr>
        <w:pStyle w:val="Heading2"/>
      </w:pPr>
      <w:r>
        <w:t>Length clustering</w:t>
      </w:r>
    </w:p>
    <w:p>
      <w:r>
        <w:t>Public records mix full-length genes with partial fragments and oversized entries, which together produce gap-ridden alignments. An automatic length-clustering step therefore retains only the dominant length cluster: the sequence length whose ± 25% band contains the most records is taken as the centre, and only records within that band are kept. The selection is data-driven — no per-gene minimum or maximum length is tuned by hand — so the method transfers to new genes without adjustment. It is applied only when at least four records are available, and a safeguard prevents the set from being reduced below two sequences.</w:t>
      </w:r>
    </w:p>
    <w:p>
      <w:pPr>
        <w:pStyle w:val="Heading2"/>
      </w:pPr>
      <w:r>
        <w:t>Multiple sequence alignment</w:t>
      </w:r>
    </w:p>
    <w:p>
      <w:r>
        <w:t>The retained sequences are aligned with MAFFT in its automatic mode (--auto). When only one sequence is available the alignment step is bypassed and that sequence is used directly. The alignment of each gene is stored, and the pipeline can restart from the stored alignments instead of querying NCBI again. Because the content of the database changes over time, this allows the downstream parameters to be revised without changing the sequences on which the probes are based; all the results reported in this dissertation derive from a single retrieval, processed in this way.</w:t>
      </w:r>
    </w:p>
    <w:p>
      <w:pPr>
        <w:pStyle w:val="Heading2"/>
      </w:pPr>
      <w:r>
        <w:t>Conservation scoring (PPI)</w:t>
      </w:r>
    </w:p>
    <w:p>
      <w:r>
        <w:t>Conservation is scored per alignment column using the Percentage of Pairwise Identity (PPI), adopted from the ViruScope tool (Lima, 2023). For a column, the PPI is the average identity over all pairs of non-gap bases, computed from the base counts; pairs of ambiguous IUPAC bases contribute a partial weight (for example a purine code R scores 0.5 against A or G, and N scores 0.25 against any base). Columns in which fewer than 30% of the sequences have a non-gap base are assigned zero, and only columns with at least two non-gap bases are counted. Because the per-column PPI is independent of the window, it is pre-computed once per alignment, which is essential for hundreds of sequences. The conservation of a candidate window is the mean of the PPI of its valid columns. In contrast to primer design, the identity of the terminal 3' nucleotides (scored separately as PPI3 in the original tool) is deliberately excluded, because capture probes are not extended by a polymerase and so the fidelity of their 3' end is irrelevant.</w:t>
      </w:r>
    </w:p>
    <w:p>
      <w:pPr>
        <w:pStyle w:val="Heading2"/>
      </w:pPr>
      <w:r>
        <w:t>Candidate generation</w:t>
      </w:r>
    </w:p>
    <w:p>
      <w:r>
        <w:t>Candidate probes are generated by sliding a window over the alignment. For each start position, taken every 3 columns, windows of every length from 18 to 28 nucleotides are formed. A window is discarded if any of its columns has a gap fraction above the allowed maximum (20% by default), or if its mean conservation is below the target's conservation threshold. The sequence of a surviving window is the per-column consensus (the most frequent non-gap base).</w:t>
      </w:r>
    </w:p>
    <w:p>
      <w:pPr>
        <w:pStyle w:val="Heading2"/>
      </w:pPr>
      <w:r>
        <w:t>Thermodynamic screening</w:t>
      </w:r>
    </w:p>
    <w:p>
      <w:r>
        <w:t>Each candidate is scored with primer3-py under the conditions of the reference buffer, 1× Phosphate-Buffered Saline (PBS): 137 mM NaCl, 2.7 mM KCl, 10 mM Na₂HPO₄ and 1.8 mM KH₂PO₄ (Protocols, 2006), that is, 157 mM Na⁺ and 4.5 mM K⁺, which primer3 treats together as a monovalent cation concentration of 161.5 mM. No divalent cations or dNTPs are present, the oligonucleotide concentration is 250 nM and the temperature is 37°C. Four quantities are computed: the melting temperature T_m (Nearest-Neighbour (NN) model (SantaLucia Jr. &amp; Hicks, 2004)), the GC content (the fraction of G and C bases), the hairpin free energy and the homodimer (self-dimer) free energy, the last two reported in kcal/mol and only when a structure is found. A candidate passes the basic screen when its T_m and GC content fall within the resolved windows and its hairpin and homodimer free energies are no more negative than their respective limits (Table 3.1).</w:t>
      </w:r>
    </w:p>
    <w:p>
      <w:r>
        <w:t>The reference conditions are those of the intended application. Among the buffers used for DNA detection with graphene transistors, 1× PBS is the one whose osmolarity and ion concentration approximate those of physiological body fluids (Purwidyantri et al., 2021), and 37°C is the physiological temperature; for the stability of the probe–target duplex it is also a more demanding condition than room temperature. Computing every thermodynamic quantity under these conditions gives each threshold a direct meaning. The T_m window is a margin over the hybridisation temperature T: its default, 53–72°C, places the T_m between 16 and 35°C above 37°C, and for another assay temperature it can be derived as [T+15, T+35]°C. The lower bound keeps the duplex stable well above the hybridisation temperature; the upper bound excludes probes so stable that hybridisation at that temperature would no longer discriminate imperfectly matched targets (Wetmur, 1991). The hairpin and homodimer limits are absolute free energies of self-structure, so that, evaluated in the reference buffer, they refer to the stability of that structure in the solution in which the probe is used. Because a higher ionic strength stabilises every base-paired structure (SantaLucia Jr. &amp; Hicks, 2004), the same limits are more demanding in 1× PBS than at lower ionic strength, which is the intended consequence of evaluating the probes under their conditions of use.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Parameter</w:t>
            </w:r>
          </w:p>
        </w:tc>
        <w:tc>
          <w:tcPr>
            <w:tcW w:type="dxa" w:w="2880"/>
          </w:tcPr>
          <w:p>
            <w:r>
              <w:rPr>
                <w:b/>
                <w:sz w:val="18"/>
              </w:rPr>
              <w:t>Default value</w:t>
            </w:r>
          </w:p>
        </w:tc>
        <w:tc>
          <w:tcPr>
            <w:tcW w:type="dxa" w:w="2880"/>
          </w:tcPr>
          <w:p>
            <w:r>
              <w:rPr>
                <w:b/>
                <w:sz w:val="18"/>
              </w:rPr>
              <w:t>Basis</w:t>
            </w:r>
          </w:p>
        </w:tc>
      </w:tr>
      <w:tr>
        <w:tc>
          <w:tcPr>
            <w:tcW w:type="dxa" w:w="2880"/>
          </w:tcPr>
          <w:p>
            <w:r>
              <w:rPr>
                <w:sz w:val="18"/>
              </w:rPr>
              <w:t>Ionic conditions</w:t>
            </w:r>
          </w:p>
        </w:tc>
        <w:tc>
          <w:tcPr>
            <w:tcW w:type="dxa" w:w="2880"/>
          </w:tcPr>
          <w:p>
            <w:r>
              <w:rPr>
                <w:sz w:val="18"/>
              </w:rPr>
              <w:t>1× PBS (161.5 mM Na⁺+K⁺)</w:t>
            </w:r>
          </w:p>
        </w:tc>
        <w:tc>
          <w:tcPr>
            <w:tcW w:type="dxa" w:w="2880"/>
          </w:tcPr>
          <w:p>
            <w:r>
              <w:rPr>
                <w:sz w:val="18"/>
              </w:rPr>
              <w:t>Purwidyantri et al. (2021); Protocols (2006)</w:t>
            </w:r>
          </w:p>
        </w:tc>
      </w:tr>
      <w:tr>
        <w:tc>
          <w:tcPr>
            <w:tcW w:type="dxa" w:w="2880"/>
          </w:tcPr>
          <w:p>
            <w:r>
              <w:rPr>
                <w:sz w:val="18"/>
              </w:rPr>
              <w:t>Temperature</w:t>
            </w:r>
          </w:p>
        </w:tc>
        <w:tc>
          <w:tcPr>
            <w:tcW w:type="dxa" w:w="2880"/>
          </w:tcPr>
          <w:p>
            <w:r>
              <w:rPr>
                <w:sz w:val="18"/>
              </w:rPr>
              <w:t>37 °C</w:t>
            </w:r>
          </w:p>
        </w:tc>
        <w:tc>
          <w:tcPr>
            <w:tcW w:type="dxa" w:w="2880"/>
          </w:tcPr>
          <w:p>
            <w:r>
              <w:rPr>
                <w:sz w:val="18"/>
              </w:rPr>
              <w:t>physiological</w:t>
            </w:r>
          </w:p>
        </w:tc>
      </w:tr>
      <w:tr>
        <w:tc>
          <w:tcPr>
            <w:tcW w:type="dxa" w:w="2880"/>
          </w:tcPr>
          <w:p>
            <w:r>
              <w:rPr>
                <w:sz w:val="18"/>
              </w:rPr>
              <w:t>Probe length</w:t>
            </w:r>
          </w:p>
        </w:tc>
        <w:tc>
          <w:tcPr>
            <w:tcW w:type="dxa" w:w="2880"/>
          </w:tcPr>
          <w:p>
            <w:r>
              <w:rPr>
                <w:sz w:val="18"/>
              </w:rPr>
              <w:t>18–28 nt</w:t>
            </w:r>
          </w:p>
        </w:tc>
        <w:tc>
          <w:tcPr>
            <w:tcW w:type="dxa" w:w="2880"/>
          </w:tcPr>
          <w:p>
            <w:r>
              <w:rPr>
                <w:sz w:val="18"/>
              </w:rPr>
              <w:t>Wetmur (1991)</w:t>
            </w:r>
          </w:p>
        </w:tc>
      </w:tr>
      <w:tr>
        <w:tc>
          <w:tcPr>
            <w:tcW w:type="dxa" w:w="2880"/>
          </w:tcPr>
          <w:p>
            <w:r>
              <w:rPr>
                <w:sz w:val="18"/>
              </w:rPr>
              <w:t>Melting temperature T_m</w:t>
            </w:r>
          </w:p>
        </w:tc>
        <w:tc>
          <w:tcPr>
            <w:tcW w:type="dxa" w:w="2880"/>
          </w:tcPr>
          <w:p>
            <w:r>
              <w:rPr>
                <w:sz w:val="18"/>
              </w:rPr>
              <w:t>53–72 °C</w:t>
            </w:r>
          </w:p>
        </w:tc>
        <w:tc>
          <w:tcPr>
            <w:tcW w:type="dxa" w:w="2880"/>
          </w:tcPr>
          <w:p>
            <w:r>
              <w:rPr>
                <w:sz w:val="18"/>
              </w:rPr>
              <w:t>T+16 to T+35 at T=37°C; SantaLucia Jr. &amp; Hicks (2004)</w:t>
            </w:r>
          </w:p>
        </w:tc>
      </w:tr>
      <w:tr>
        <w:tc>
          <w:tcPr>
            <w:tcW w:type="dxa" w:w="2880"/>
          </w:tcPr>
          <w:p>
            <w:r>
              <w:rPr>
                <w:sz w:val="18"/>
              </w:rPr>
              <w:t>GC content</w:t>
            </w:r>
          </w:p>
        </w:tc>
        <w:tc>
          <w:tcPr>
            <w:tcW w:type="dxa" w:w="2880"/>
          </w:tcPr>
          <w:p>
            <w:r>
              <w:rPr>
                <w:sz w:val="18"/>
              </w:rPr>
              <w:t>40–60%</w:t>
            </w:r>
          </w:p>
        </w:tc>
        <w:tc>
          <w:tcPr>
            <w:tcW w:type="dxa" w:w="2880"/>
          </w:tcPr>
          <w:p>
            <w:r>
              <w:rPr>
                <w:sz w:val="18"/>
              </w:rPr>
              <w:t>IDT OligoAnalyzer (Technologies, n.d.)</w:t>
            </w:r>
          </w:p>
        </w:tc>
      </w:tr>
      <w:tr>
        <w:tc>
          <w:tcPr>
            <w:tcW w:type="dxa" w:w="2880"/>
          </w:tcPr>
          <w:p>
            <w:r>
              <w:rPr>
                <w:sz w:val="18"/>
              </w:rPr>
              <w:t>Hairpin Δ G</w:t>
            </w:r>
          </w:p>
        </w:tc>
        <w:tc>
          <w:tcPr>
            <w:tcW w:type="dxa" w:w="2880"/>
          </w:tcPr>
          <w:p>
            <w:r>
              <w:rPr>
                <w:sz w:val="18"/>
              </w:rPr>
              <w:t>≥ -2.0 kcal/mol</w:t>
            </w:r>
          </w:p>
        </w:tc>
        <w:tc>
          <w:tcPr>
            <w:tcW w:type="dxa" w:w="2880"/>
          </w:tcPr>
          <w:p>
            <w:r>
              <w:rPr>
                <w:sz w:val="18"/>
              </w:rPr>
              <w:t>Technologies (n.d.); primer3 (Untergasser et al., 2012)</w:t>
            </w:r>
          </w:p>
        </w:tc>
      </w:tr>
      <w:tr>
        <w:tc>
          <w:tcPr>
            <w:tcW w:type="dxa" w:w="2880"/>
          </w:tcPr>
          <w:p>
            <w:r>
              <w:rPr>
                <w:sz w:val="18"/>
              </w:rPr>
              <w:t>Homodimer Δ G</w:t>
            </w:r>
          </w:p>
        </w:tc>
        <w:tc>
          <w:tcPr>
            <w:tcW w:type="dxa" w:w="2880"/>
          </w:tcPr>
          <w:p>
            <w:r>
              <w:rPr>
                <w:sz w:val="18"/>
              </w:rPr>
              <w:t>≥ -5.0 kcal/mol</w:t>
            </w:r>
          </w:p>
        </w:tc>
        <w:tc>
          <w:tcPr>
            <w:tcW w:type="dxa" w:w="2880"/>
          </w:tcPr>
          <w:p>
            <w:r>
              <w:rPr>
                <w:sz w:val="18"/>
              </w:rPr>
              <w:t>IDT OligoAnalyzer (Technologies, n.d.)</w:t>
            </w:r>
          </w:p>
        </w:tc>
      </w:tr>
      <w:tr>
        <w:tc>
          <w:tcPr>
            <w:tcW w:type="dxa" w:w="2880"/>
          </w:tcPr>
          <w:p>
            <w:r>
              <w:rPr>
                <w:sz w:val="18"/>
              </w:rPr>
              <w:t>Conservation (PPI)</w:t>
            </w:r>
          </w:p>
        </w:tc>
        <w:tc>
          <w:tcPr>
            <w:tcW w:type="dxa" w:w="2880"/>
          </w:tcPr>
          <w:p>
            <w:r>
              <w:rPr>
                <w:sz w:val="18"/>
              </w:rPr>
              <w:t>≥ 0.85</w:t>
            </w:r>
          </w:p>
        </w:tc>
        <w:tc>
          <w:tcPr>
            <w:tcW w:type="dxa" w:w="2880"/>
          </w:tcPr>
          <w:p>
            <w:r>
              <w:rPr>
                <w:sz w:val="18"/>
              </w:rPr>
              <w:t>pan-strain detection (Lima, 2023)</w:t>
            </w:r>
          </w:p>
        </w:tc>
      </w:tr>
      <w:tr>
        <w:tc>
          <w:tcPr>
            <w:tcW w:type="dxa" w:w="2880"/>
          </w:tcPr>
          <w:p>
            <w:r>
              <w:rPr>
                <w:sz w:val="18"/>
              </w:rPr>
              <w:t>Alignment gap fraction</w:t>
            </w:r>
          </w:p>
        </w:tc>
        <w:tc>
          <w:tcPr>
            <w:tcW w:type="dxa" w:w="2880"/>
          </w:tcPr>
          <w:p>
            <w:r>
              <w:rPr>
                <w:sz w:val="18"/>
              </w:rPr>
              <w:t>≤ 20%</w:t>
            </w:r>
          </w:p>
        </w:tc>
        <w:tc>
          <w:tcPr>
            <w:tcW w:type="dxa" w:w="2880"/>
          </w:tcPr>
          <w:p>
            <w:r>
              <w:rPr>
                <w:sz w:val="18"/>
              </w:rPr>
              <w:t>alignment quality</w:t>
            </w:r>
          </w:p>
        </w:tc>
      </w:tr>
      <w:tr>
        <w:tc>
          <w:tcPr>
            <w:tcW w:type="dxa" w:w="2880"/>
          </w:tcPr>
          <w:p>
            <w:r>
              <w:rPr>
                <w:sz w:val="18"/>
              </w:rPr>
              <w:t>Secondary structure Δ GMFE</w:t>
            </w:r>
          </w:p>
        </w:tc>
        <w:tc>
          <w:tcPr>
            <w:tcW w:type="dxa" w:w="2880"/>
          </w:tcPr>
          <w:p>
            <w:r>
              <w:rPr>
                <w:sz w:val="18"/>
              </w:rPr>
              <w:t>≥ -2.1 kcal/mol</w:t>
            </w:r>
          </w:p>
        </w:tc>
        <w:tc>
          <w:tcPr>
            <w:tcW w:type="dxa" w:w="2880"/>
          </w:tcPr>
          <w:p>
            <w:r>
              <w:rPr>
                <w:sz w:val="18"/>
              </w:rPr>
              <w:t>5th percentile in 1× PBS</w:t>
            </w:r>
          </w:p>
        </w:tc>
      </w:tr>
    </w:tbl>
    <w:p>
      <w:pPr>
        <w:spacing w:after="240"/>
      </w:pPr>
      <w:r>
        <w:rPr>
          <w:b/>
          <w:sz w:val="18"/>
        </w:rPr>
        <w:t xml:space="preserve">Table 3.1. </w:t>
      </w:r>
      <w:r>
        <w:rPr>
          <w:sz w:val="18"/>
        </w:rPr>
        <w:t>Global default thresholds, all evaluated in 1× PBS at 37°C. Values are</w:t>
        <w:br/>
        <w:t>overridden per organism type, species or gene where justified (Section 3.8).</w:t>
      </w:r>
    </w:p>
    <w:p>
      <w:pPr>
        <w:pStyle w:val="Heading2"/>
      </w:pPr>
      <w:r>
        <w:t>Secondary structure and the No-fold score</w:t>
      </w:r>
    </w:p>
    <w:p>
      <w:r>
        <w:t>The single-strand secondary structure of each candidate that passed the basic screen is computed with seqfold, which returns the Minimum Free Energy (MFE) at 37°C and the fraction of paired bases. A candidate passes the secondary-structure screen when its MFE is no more negative than -2.1 kcal/mol. This value is the fifth percentile of the MFE distribution of the candidates that pass the basic screen in the reference buffer (Figure 3.1). The seqfold energies do not take the ionic strength as an input, but the population over which the percentile is taken does depend on it, because the hairpin and homodimer filters that precede this screen are evaluated in 1× PBS; deriving the threshold from that population keeps it consistent with the other criteria. Once derived, the value is fixed, so that the criterion remains reproducible across runs rather than always removing a fixed fraction of the data.</w:t>
      </w:r>
    </w:p>
    <w:p>
      <w:pPr>
        <w:jc w:val="center"/>
      </w:pPr>
      <w:r>
        <w:drawing>
          <wp:inline xmlns:a="http://schemas.openxmlformats.org/drawingml/2006/main" xmlns:pic="http://schemas.openxmlformats.org/drawingml/2006/picture">
            <wp:extent cx="5486400" cy="1920240"/>
            <wp:docPr id="1" name="Picture 1"/>
            <wp:cNvGraphicFramePr>
              <a:graphicFrameLocks noChangeAspect="1"/>
            </wp:cNvGraphicFramePr>
            <a:graphic>
              <a:graphicData uri="http://schemas.openxmlformats.org/drawingml/2006/picture">
                <pic:pic>
                  <pic:nvPicPr>
                    <pic:cNvPr id="0" name="seqfold_hist.png"/>
                    <pic:cNvPicPr/>
                  </pic:nvPicPr>
                  <pic:blipFill>
                    <a:blip r:embed="rId9"/>
                    <a:stretch>
                      <a:fillRect/>
                    </a:stretch>
                  </pic:blipFill>
                  <pic:spPr>
                    <a:xfrm>
                      <a:off x="0" y="0"/>
                      <a:ext cx="5486400" cy="1920240"/>
                    </a:xfrm>
                    <a:prstGeom prst="rect"/>
                  </pic:spPr>
                </pic:pic>
              </a:graphicData>
            </a:graphic>
          </wp:inline>
        </w:drawing>
      </w:r>
    </w:p>
    <w:p>
      <w:pPr>
        <w:spacing w:after="240"/>
      </w:pPr>
      <w:r>
        <w:rPr>
          <w:b/>
          <w:sz w:val="18"/>
        </w:rPr>
        <w:t xml:space="preserve">Figure 3.1. </w:t>
      </w:r>
      <w:r>
        <w:rPr>
          <w:sz w:val="18"/>
        </w:rPr>
        <w:t>Distribution of the seqfold secondary-structure free energy (Δ GMFE)</w:t>
        <w:br/>
        <w:t>of the candidates that pass the basic screen in 1× PBS, overall (left) and per gene (right), with</w:t>
        <w:br/>
        <w:t>the -2.1 kcal/mol threshold (fifth percentile).</w:t>
      </w:r>
    </w:p>
    <w:p>
      <w:r>
        <w:t>In addition to this pass/fail screen, the three folding energies (hairpin, homodimer and MFE) are combined into a continuous No-fold score in the range 0–100, following ViruScope (Lima, 2023). Each energy is mapped through a logistic penalty,</w:t>
      </w:r>
    </w:p>
    <w:p>
      <w:pPr>
        <w:jc w:val="center"/>
      </w:pPr>
      <w:r>
        <w:t>No-fold = left(1 - frac11+exp(x)right)× 100, qquad x = fracΔ Gcal - Δ G₀/2s R T,</w:t>
      </w:r>
    </w:p>
    <w:p>
      <w:r>
        <w:t>with Δ G₀=-7000 cal/mol, slope s=1, R=1.987 cal mol⁻¹K⁻¹ and T=310 K; the per-probe No-fold score is the mean of the scores of the energies that are available. A high No-fold score denotes a probe that is largely free of stable self-structure. This continuous score is used, together with conservation, to rank the candidates rather than merely to filter them.</w:t>
      </w:r>
    </w:p>
    <w:p>
      <w:pPr>
        <w:pStyle w:val="Heading2"/>
      </w:pPr>
      <w:r>
        <w:t>Organism-aware parameters</w:t>
      </w:r>
    </w:p>
    <w:p>
      <w:r>
        <w:t>Because the intended application spans pathogens with very different genomes, a single global set of thresholds is inadequate: criteria appropriate for a balanced bacterial genome would unfairly reject an AT-rich or a GC-rich target. All thresholds are therefore resolved from the most specific layer to the most general,</w:t>
      </w:r>
    </w:p>
    <w:p>
      <w:pPr>
        <w:jc w:val="center"/>
      </w:pPr>
      <w:r>
        <w:t>gene → species → organism type → global default,</w:t>
      </w:r>
    </w:p>
    <w:p>
      <w:r>
        <w:t>where the first layer that defines a parameter wins. Five organism types are distinguished, differing mainly in genome GC content and in variability (Table 3.2); species-level profiles then fine-tune the values by the GC content of each genome (for example P. aeruginosa at 67% GC (Stover et al., 2000), A. fumigatus at 50% GC (Nierman et al., 2005) and the AT-rich P. falciparum at 19% GC (Gardner et al., 2002)).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Organism type</w:t>
            </w:r>
          </w:p>
        </w:tc>
        <w:tc>
          <w:tcPr>
            <w:tcW w:type="dxa" w:w="2160"/>
          </w:tcPr>
          <w:p>
            <w:r>
              <w:rPr>
                <w:b/>
                <w:sz w:val="18"/>
              </w:rPr>
              <w:t>GC window</w:t>
            </w:r>
          </w:p>
        </w:tc>
        <w:tc>
          <w:tcPr>
            <w:tcW w:type="dxa" w:w="2160"/>
          </w:tcPr>
          <w:p>
            <w:r>
              <w:rPr>
                <w:b/>
                <w:sz w:val="18"/>
              </w:rPr>
              <w:t>Conservation</w:t>
            </w:r>
          </w:p>
        </w:tc>
        <w:tc>
          <w:tcPr>
            <w:tcW w:type="dxa" w:w="2160"/>
          </w:tcPr>
          <w:p>
            <w:r>
              <w:rPr>
                <w:b/>
                <w:sz w:val="18"/>
              </w:rPr>
              <w:t>Max length</w:t>
            </w:r>
          </w:p>
        </w:tc>
      </w:tr>
      <w:tr>
        <w:tc>
          <w:tcPr>
            <w:tcW w:type="dxa" w:w="2160"/>
          </w:tcPr>
          <w:p>
            <w:r>
              <w:rPr>
                <w:sz w:val="18"/>
              </w:rPr>
              <w:t>Bacteria</w:t>
            </w:r>
          </w:p>
        </w:tc>
        <w:tc>
          <w:tcPr>
            <w:tcW w:type="dxa" w:w="2160"/>
          </w:tcPr>
          <w:p>
            <w:r>
              <w:rPr>
                <w:sz w:val="18"/>
              </w:rPr>
              <w:t>40–60%</w:t>
            </w:r>
          </w:p>
        </w:tc>
        <w:tc>
          <w:tcPr>
            <w:tcW w:type="dxa" w:w="2160"/>
          </w:tcPr>
          <w:p>
            <w:r>
              <w:rPr>
                <w:sz w:val="18"/>
              </w:rPr>
              <w:t>0.85</w:t>
            </w:r>
          </w:p>
        </w:tc>
        <w:tc>
          <w:tcPr>
            <w:tcW w:type="dxa" w:w="2160"/>
          </w:tcPr>
          <w:p>
            <w:r>
              <w:rPr>
                <w:sz w:val="18"/>
              </w:rPr>
              <w:t>28</w:t>
            </w:r>
          </w:p>
        </w:tc>
      </w:tr>
      <w:tr>
        <w:tc>
          <w:tcPr>
            <w:tcW w:type="dxa" w:w="2160"/>
          </w:tcPr>
          <w:p>
            <w:r>
              <w:rPr>
                <w:sz w:val="18"/>
              </w:rPr>
              <w:t>Virus</w:t>
            </w:r>
          </w:p>
        </w:tc>
        <w:tc>
          <w:tcPr>
            <w:tcW w:type="dxa" w:w="2160"/>
          </w:tcPr>
          <w:p>
            <w:r>
              <w:rPr>
                <w:sz w:val="18"/>
              </w:rPr>
              <w:t>35–68%</w:t>
            </w:r>
          </w:p>
        </w:tc>
        <w:tc>
          <w:tcPr>
            <w:tcW w:type="dxa" w:w="2160"/>
          </w:tcPr>
          <w:p>
            <w:r>
              <w:rPr>
                <w:sz w:val="18"/>
              </w:rPr>
              <w:t>0.70</w:t>
            </w:r>
          </w:p>
        </w:tc>
        <w:tc>
          <w:tcPr>
            <w:tcW w:type="dxa" w:w="2160"/>
          </w:tcPr>
          <w:p>
            <w:r>
              <w:rPr>
                <w:sz w:val="18"/>
              </w:rPr>
              <w:t>30</w:t>
            </w:r>
          </w:p>
        </w:tc>
      </w:tr>
      <w:tr>
        <w:tc>
          <w:tcPr>
            <w:tcW w:type="dxa" w:w="2160"/>
          </w:tcPr>
          <w:p>
            <w:r>
              <w:rPr>
                <w:sz w:val="18"/>
              </w:rPr>
              <w:t>Fungus</w:t>
            </w:r>
          </w:p>
        </w:tc>
        <w:tc>
          <w:tcPr>
            <w:tcW w:type="dxa" w:w="2160"/>
          </w:tcPr>
          <w:p>
            <w:r>
              <w:rPr>
                <w:sz w:val="18"/>
              </w:rPr>
              <w:t>40–60%</w:t>
            </w:r>
          </w:p>
        </w:tc>
        <w:tc>
          <w:tcPr>
            <w:tcW w:type="dxa" w:w="2160"/>
          </w:tcPr>
          <w:p>
            <w:r>
              <w:rPr>
                <w:sz w:val="18"/>
              </w:rPr>
              <w:t>0.80</w:t>
            </w:r>
          </w:p>
        </w:tc>
        <w:tc>
          <w:tcPr>
            <w:tcW w:type="dxa" w:w="2160"/>
          </w:tcPr>
          <w:p>
            <w:r>
              <w:rPr>
                <w:sz w:val="18"/>
              </w:rPr>
              <w:t>28</w:t>
            </w:r>
          </w:p>
        </w:tc>
      </w:tr>
      <w:tr>
        <w:tc>
          <w:tcPr>
            <w:tcW w:type="dxa" w:w="2160"/>
          </w:tcPr>
          <w:p>
            <w:r>
              <w:rPr>
                <w:sz w:val="18"/>
              </w:rPr>
              <w:t>Protozoan</w:t>
            </w:r>
          </w:p>
        </w:tc>
        <w:tc>
          <w:tcPr>
            <w:tcW w:type="dxa" w:w="2160"/>
          </w:tcPr>
          <w:p>
            <w:r>
              <w:rPr>
                <w:sz w:val="18"/>
              </w:rPr>
              <w:t>15–40%</w:t>
            </w:r>
          </w:p>
        </w:tc>
        <w:tc>
          <w:tcPr>
            <w:tcW w:type="dxa" w:w="2160"/>
          </w:tcPr>
          <w:p>
            <w:r>
              <w:rPr>
                <w:sz w:val="18"/>
              </w:rPr>
              <w:t>0.80</w:t>
            </w:r>
          </w:p>
        </w:tc>
        <w:tc>
          <w:tcPr>
            <w:tcW w:type="dxa" w:w="2160"/>
          </w:tcPr>
          <w:p>
            <w:r>
              <w:rPr>
                <w:sz w:val="18"/>
              </w:rPr>
              <w:t>30</w:t>
            </w:r>
          </w:p>
        </w:tc>
      </w:tr>
      <w:tr>
        <w:tc>
          <w:tcPr>
            <w:tcW w:type="dxa" w:w="2160"/>
          </w:tcPr>
          <w:p>
            <w:r>
              <w:rPr>
                <w:sz w:val="18"/>
              </w:rPr>
              <w:t>Host (human)</w:t>
            </w:r>
          </w:p>
        </w:tc>
        <w:tc>
          <w:tcPr>
            <w:tcW w:type="dxa" w:w="2160"/>
          </w:tcPr>
          <w:p>
            <w:r>
              <w:rPr>
                <w:sz w:val="18"/>
              </w:rPr>
              <w:t>35–60%</w:t>
            </w:r>
          </w:p>
        </w:tc>
        <w:tc>
          <w:tcPr>
            <w:tcW w:type="dxa" w:w="2160"/>
          </w:tcPr>
          <w:p>
            <w:r>
              <w:rPr>
                <w:sz w:val="18"/>
              </w:rPr>
              <w:t>0.85</w:t>
            </w:r>
          </w:p>
        </w:tc>
        <w:tc>
          <w:tcPr>
            <w:tcW w:type="dxa" w:w="2160"/>
          </w:tcPr>
          <w:p>
            <w:r>
              <w:rPr>
                <w:sz w:val="18"/>
              </w:rPr>
              <w:t>28</w:t>
            </w:r>
          </w:p>
        </w:tc>
      </w:tr>
    </w:tbl>
    <w:p>
      <w:pPr>
        <w:spacing w:after="240"/>
      </w:pPr>
      <w:r>
        <w:rPr>
          <w:b/>
          <w:sz w:val="18"/>
        </w:rPr>
        <w:t xml:space="preserve">Table 3.2. </w:t>
      </w:r>
      <w:r>
        <w:rPr>
          <w:sz w:val="18"/>
        </w:rPr>
        <w:t>Per-type parameter profiles. Viruses use a wider GC window and a more permissive conservation</w:t>
        <w:br/>
        <w:t>threshold; the protozoan profile is AT-shifted.</w:t>
      </w:r>
    </w:p>
    <w:p>
      <w:r>
        <w:t>When the pipeline encounters an organism for which no profile exists and is run interactively, it prompts the user for the organism type and for each threshold, proposing a suggested value that can be accepted or overridden; the resulting profile is stored and reused in later runs. When run non-interactively, it applies the suggested values without prompting.</w:t>
      </w:r>
    </w:p>
    <w:p>
      <w:r>
        <w:rPr>
          <w:b/>
        </w:rPr>
        <w:t xml:space="preserve">Gene profiles. </w:t>
      </w:r>
      <w:r>
        <w:t>At the most specific layer, each gene of the panel has a profile that departs from the global defaults only where its sequences require it (Table 3.3). The GC windows follow the measured composition of each target: the AT-rich nuc and frdB sequences (35.5 and 39.2% GC) accept probes down to 38% GC, and nuc also a T_m down to 52°C, since A–T pairs contribute less duplex stability than G–C pairs (SantaLucia Jr. &amp; Hicks, 2004); the GC-rich oprL and algD sequences (63.5 and 64.6% GC, in line with the 67% GC of the P. aeruginosa genome (Stover et al., 2000)) accept probes up to 70% GC. The relaxed conservation and gap limits of lytA follow its allelic diversity (Obregón et al., 2002), which also makes it the most diverse gene of the panel (Table 4.4), and algD is allowed up to 200 records because only 19 are available in NCBI. rmpM, whose sequences have a balanced composition (52.2% GC) and which is well represented in the database, uses the global defaults. The GC, conservation, gap and length criteria are properties of the sequences and of the alignment and do not depend on the buffer; the T_m and free-energy criteria are evaluated in the reference buffer (Section 3.6).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w:t>
            </w:r>
          </w:p>
        </w:tc>
        <w:tc>
          <w:tcPr>
            <w:tcW w:type="dxa" w:w="2160"/>
          </w:tcPr>
          <w:p>
            <w:r>
              <w:rPr>
                <w:b/>
                <w:sz w:val="18"/>
              </w:rPr>
              <w:t>Profile</w:t>
            </w:r>
          </w:p>
        </w:tc>
        <w:tc>
          <w:tcPr>
            <w:tcW w:type="dxa" w:w="2160"/>
          </w:tcPr>
          <w:p>
            <w:r>
              <w:rPr>
                <w:b/>
                <w:sz w:val="18"/>
              </w:rPr>
              <w:t>GC of the sequences</w:t>
            </w:r>
          </w:p>
        </w:tc>
        <w:tc>
          <w:tcPr>
            <w:tcW w:type="dxa" w:w="2160"/>
          </w:tcPr>
          <w:p>
            <w:r>
              <w:rPr>
                <w:b/>
                <w:sz w:val="18"/>
              </w:rPr>
              <w:t>Basis</w:t>
            </w:r>
          </w:p>
        </w:tc>
      </w:tr>
      <w:tr>
        <w:tc>
          <w:tcPr>
            <w:tcW w:type="dxa" w:w="2160"/>
          </w:tcPr>
          <w:p>
            <w:r>
              <w:rPr>
                <w:sz w:val="18"/>
              </w:rPr>
              <w:t>nuc</w:t>
            </w:r>
          </w:p>
        </w:tc>
        <w:tc>
          <w:tcPr>
            <w:tcW w:type="dxa" w:w="2160"/>
          </w:tcPr>
          <w:p>
            <w:r>
              <w:rPr>
                <w:sz w:val="18"/>
              </w:rPr>
              <w:t>T_m ≥ 52°C; GC 38–60%</w:t>
            </w:r>
          </w:p>
        </w:tc>
        <w:tc>
          <w:tcPr>
            <w:tcW w:type="dxa" w:w="2160"/>
          </w:tcPr>
          <w:p>
            <w:r>
              <w:rPr>
                <w:sz w:val="18"/>
              </w:rPr>
              <w:t>35.5%</w:t>
            </w:r>
          </w:p>
        </w:tc>
        <w:tc>
          <w:tcPr>
            <w:tcW w:type="dxa" w:w="2160"/>
          </w:tcPr>
          <w:p>
            <w:r>
              <w:rPr>
                <w:sz w:val="18"/>
              </w:rPr>
              <w:t>AT-rich target</w:t>
            </w:r>
          </w:p>
        </w:tc>
      </w:tr>
      <w:tr>
        <w:tc>
          <w:tcPr>
            <w:tcW w:type="dxa" w:w="2160"/>
          </w:tcPr>
          <w:p>
            <w:r>
              <w:rPr>
                <w:sz w:val="18"/>
              </w:rPr>
              <w:t>rmpM</w:t>
            </w:r>
          </w:p>
        </w:tc>
        <w:tc>
          <w:tcPr>
            <w:tcW w:type="dxa" w:w="2160"/>
          </w:tcPr>
          <w:p>
            <w:r>
              <w:rPr>
                <w:sz w:val="18"/>
              </w:rPr>
              <w:t>global defaults</w:t>
            </w:r>
          </w:p>
        </w:tc>
        <w:tc>
          <w:tcPr>
            <w:tcW w:type="dxa" w:w="2160"/>
          </w:tcPr>
          <w:p>
            <w:r>
              <w:rPr>
                <w:sz w:val="18"/>
              </w:rPr>
              <w:t>52.2%</w:t>
            </w:r>
          </w:p>
        </w:tc>
        <w:tc>
          <w:tcPr>
            <w:tcW w:type="dxa" w:w="2160"/>
          </w:tcPr>
          <w:p>
            <w:r>
              <w:rPr>
                <w:sz w:val="18"/>
              </w:rPr>
              <w:t>balanced composition</w:t>
            </w:r>
          </w:p>
        </w:tc>
      </w:tr>
      <w:tr>
        <w:tc>
          <w:tcPr>
            <w:tcW w:type="dxa" w:w="2160"/>
          </w:tcPr>
          <w:p>
            <w:r>
              <w:rPr>
                <w:sz w:val="18"/>
              </w:rPr>
              <w:t>lytA</w:t>
            </w:r>
          </w:p>
        </w:tc>
        <w:tc>
          <w:tcPr>
            <w:tcW w:type="dxa" w:w="2160"/>
          </w:tcPr>
          <w:p>
            <w:r>
              <w:rPr>
                <w:sz w:val="18"/>
              </w:rPr>
              <w:t>PPI ≥ 0.70; gaps ≤ 40%</w:t>
            </w:r>
          </w:p>
        </w:tc>
        <w:tc>
          <w:tcPr>
            <w:tcW w:type="dxa" w:w="2160"/>
          </w:tcPr>
          <w:p>
            <w:r>
              <w:rPr>
                <w:sz w:val="18"/>
              </w:rPr>
              <w:t>44.9%</w:t>
            </w:r>
          </w:p>
        </w:tc>
        <w:tc>
          <w:tcPr>
            <w:tcW w:type="dxa" w:w="2160"/>
          </w:tcPr>
          <w:p>
            <w:r>
              <w:rPr>
                <w:sz w:val="18"/>
              </w:rPr>
              <w:t>allelic diversity (Obregón et al., 2002)</w:t>
            </w:r>
          </w:p>
        </w:tc>
      </w:tr>
      <w:tr>
        <w:tc>
          <w:tcPr>
            <w:tcW w:type="dxa" w:w="2160"/>
          </w:tcPr>
          <w:p>
            <w:r>
              <w:rPr>
                <w:sz w:val="18"/>
              </w:rPr>
              <w:t>oprL</w:t>
            </w:r>
          </w:p>
        </w:tc>
        <w:tc>
          <w:tcPr>
            <w:tcW w:type="dxa" w:w="2160"/>
          </w:tcPr>
          <w:p>
            <w:r>
              <w:rPr>
                <w:sz w:val="18"/>
              </w:rPr>
              <w:t>GC ≤ 70%</w:t>
            </w:r>
          </w:p>
        </w:tc>
        <w:tc>
          <w:tcPr>
            <w:tcW w:type="dxa" w:w="2160"/>
          </w:tcPr>
          <w:p>
            <w:r>
              <w:rPr>
                <w:sz w:val="18"/>
              </w:rPr>
              <w:t>63.5%</w:t>
            </w:r>
          </w:p>
        </w:tc>
        <w:tc>
          <w:tcPr>
            <w:tcW w:type="dxa" w:w="2160"/>
          </w:tcPr>
          <w:p>
            <w:r>
              <w:rPr>
                <w:sz w:val="18"/>
              </w:rPr>
              <w:t>GC-rich target (Stover et al., 2000)</w:t>
            </w:r>
          </w:p>
        </w:tc>
      </w:tr>
      <w:tr>
        <w:tc>
          <w:tcPr>
            <w:tcW w:type="dxa" w:w="2160"/>
          </w:tcPr>
          <w:p>
            <w:r>
              <w:rPr>
                <w:sz w:val="18"/>
              </w:rPr>
              <w:t>algD</w:t>
            </w:r>
          </w:p>
        </w:tc>
        <w:tc>
          <w:tcPr>
            <w:tcW w:type="dxa" w:w="2160"/>
          </w:tcPr>
          <w:p>
            <w:r>
              <w:rPr>
                <w:sz w:val="18"/>
              </w:rPr>
              <w:t>GC ≤ 70%; up to 200 records</w:t>
            </w:r>
          </w:p>
        </w:tc>
        <w:tc>
          <w:tcPr>
            <w:tcW w:type="dxa" w:w="2160"/>
          </w:tcPr>
          <w:p>
            <w:r>
              <w:rPr>
                <w:sz w:val="18"/>
              </w:rPr>
              <w:t>64.6%</w:t>
            </w:r>
          </w:p>
        </w:tc>
        <w:tc>
          <w:tcPr>
            <w:tcW w:type="dxa" w:w="2160"/>
          </w:tcPr>
          <w:p>
            <w:r>
              <w:rPr>
                <w:sz w:val="18"/>
              </w:rPr>
              <w:t>GC-rich target; 19 records</w:t>
            </w:r>
          </w:p>
        </w:tc>
      </w:tr>
      <w:tr>
        <w:tc>
          <w:tcPr>
            <w:tcW w:type="dxa" w:w="2160"/>
          </w:tcPr>
          <w:p>
            <w:r>
              <w:rPr>
                <w:sz w:val="18"/>
              </w:rPr>
              <w:t>frdB</w:t>
            </w:r>
          </w:p>
        </w:tc>
        <w:tc>
          <w:tcPr>
            <w:tcW w:type="dxa" w:w="2160"/>
          </w:tcPr>
          <w:p>
            <w:r>
              <w:rPr>
                <w:sz w:val="18"/>
              </w:rPr>
              <w:t>GC 38–60%</w:t>
            </w:r>
          </w:p>
        </w:tc>
        <w:tc>
          <w:tcPr>
            <w:tcW w:type="dxa" w:w="2160"/>
          </w:tcPr>
          <w:p>
            <w:r>
              <w:rPr>
                <w:sz w:val="18"/>
              </w:rPr>
              <w:t>39.2%</w:t>
            </w:r>
          </w:p>
        </w:tc>
        <w:tc>
          <w:tcPr>
            <w:tcW w:type="dxa" w:w="2160"/>
          </w:tcPr>
          <w:p>
            <w:r>
              <w:rPr>
                <w:sz w:val="18"/>
              </w:rPr>
              <w:t>AT-rich target</w:t>
            </w:r>
          </w:p>
        </w:tc>
      </w:tr>
    </w:tbl>
    <w:p>
      <w:pPr>
        <w:spacing w:after="240"/>
      </w:pPr>
      <w:r>
        <w:rPr>
          <w:b/>
          <w:sz w:val="18"/>
        </w:rPr>
        <w:t xml:space="preserve">Table 3.3. </w:t>
      </w:r>
      <w:r>
        <w:rPr>
          <w:sz w:val="18"/>
        </w:rPr>
        <w:t>Gene-level profiles. The GC content is the mean over the retrieved sequences of each gene, gaps</w:t>
        <w:br/>
        <w:t>excluded. Parameters not listed take the global defaults of Table 3.1.</w:t>
      </w:r>
    </w:p>
    <w:p>
      <w:pPr>
        <w:pStyle w:val="Heading2"/>
      </w:pPr>
      <w:r>
        <w:t>Quality-based selection</w:t>
      </w:r>
    </w:p>
    <w:p>
      <w:r>
        <w:t>Because three-dimensional prediction is comparatively expensive, only the best candidates per gene are carried forward. Rather than ranking by melting temperature — which the thermodynamic screen has already bounded — the surviving candidates are ranked by a quality score that averages the two signals most indicative of sequence quality:</w:t>
      </w:r>
    </w:p>
    <w:p>
      <w:pPr>
        <w:jc w:val="center"/>
      </w:pPr>
      <w:r>
        <w:t>quality = tfrac12left(textacrshortppi + tfracNo-fold100right).</w:t>
      </w:r>
    </w:p>
    <w:p>
      <w:r>
        <w:t>The top-ranked candidates of each gene are exported for 3D validation, and the same ranking is used to export larger curated sets (for example the top 25 per gene) together with their sequence-level features.</w:t>
      </w:r>
    </w:p>
    <w:p>
      <w:pPr>
        <w:pStyle w:val="Heading2"/>
      </w:pPr>
      <w:r>
        <w:t>Three-dimensional validation</w:t>
      </w:r>
    </w:p>
    <w:p>
      <w:r>
        <w:t>The selected probes are written one per file in the native Boltz-2 input format and submitted to Boltz-2 (Wohlwend et al., 2024), run on a GPU, which predicts the three-dimensional structure of each single-stranded sequence together with confidence estimates: an overall confidence, the predicted Local Distance Difference Test (pLDDT) and the Predicted Aligned Error (PAE) matrix, in the style of AlphaFold 3 (Abramson et al., 2024). As these confidence metrics are calibrated primarily for proteins, the overall confidence and the pLDDT are used here as relative, independent indicators of the structural soundness of the short probes. The predictions are merged with the sequence metadata to produce a final ranked shortlist combining sequence quality (conservation and No-fold) with the 3D confidence.</w:t>
      </w:r>
    </w:p>
    <w:p>
      <w:r>
        <w:t>Each selected probe was also predicted in its hybridised state, as a duplex with its full complementary target of the same length (probe as chain A, target as chain B). This is the target format used in the graphene-transistor studies that define the experimental context of this work, in which a 25-nucleotide probe was hybridised to its 25-nucleotide complement (Campos et al., 2019; Purwidyantri et al., 2021).</w:t>
      </w:r>
    </w:p>
    <w:p>
      <w:pPr>
        <w:pStyle w:val="Heading2"/>
      </w:pPr>
      <w:r>
        <w:t>Assembly of probe–graphene models</w:t>
      </w:r>
    </w:p>
    <w:p>
      <w:r>
        <w:t>To obtain atomistic models of the sensing interface, the predicted probe structures were combined with a graphene sheet.</w:t>
      </w:r>
    </w:p>
    <w:p>
      <w:pPr>
        <w:pStyle w:val="Heading3"/>
      </w:pPr>
      <w:r>
        <w:t>Generation of the graphene sheet with GOPY</w:t>
      </w:r>
    </w:p>
    <w:p>
      <w:r>
        <w:t>The graphene component was built with GOPY (Muraru et al., 2020), a free and open-source Python tool for the automated construction of two-dimensional graphene-based molecular models. Building such models by hand is slow and introduces bias, because the position of every atom — and, in functionalised variants, of every chemical group — has to be placed manually; GOPY generates them programmatically instead, which makes larger and more complex sheets practical and reproducible. Besides pristine graphene, the tool can produce graphene oxide and its derivatives (reduced graphene oxide, carboxyl-, epoxy- and hydroxyl-functionalised forms, PEG-aminated reduced graphene oxide and nitrogen-doped graphene), and can introduce vacancy defects (“holes”) in a layer. Each model is written directly in PDB format, which makes it usable by standard structural biology and molecular modelling software without conversion.</w:t>
      </w:r>
    </w:p>
    <w:p>
      <w:r>
        <w:t>A note on how the tool was obtained is warranted, since it conditions reproducibility. GOPY is not published on a package index: it is released by its authors as a standalone Python script under the GNU General Public License, hosted in a public repository, [https://github.com/Iourarum/GOPY] and contains no packaging metadata that would allow installation through pip. Retrieving the source directly from that repository and executing it locally is therefore the only available distribution route, and it is the one used here. Care is needed because the name gopy is shared by at least two unrelated projects — a Go-to-Python bindings generator and a data-structures package published on PyPI — neither of which has any connection to graphene modelling; the tool used in this work is specifically the one accompanying Muraru et al. (2020), developed by S. Muraru, J. S. Burns and M. Ionita, to whom credit for it belongs. Only Python 3 with numpy and scipy is required to run it.</w:t>
      </w:r>
    </w:p>
    <w:p>
      <w:r>
        <w:t>For this work only the pristine graphene functionality was used, since the sensing channel modelled here is unfunctionalised graphene. A single layer was generated with the command</w:t>
      </w:r>
    </w:p>
    <w:p>
      <w:r>
        <w:t>python GOPY.py generate_PG 120 120 graphene_PG_12nm.pdb</w:t>
      </w:r>
    </w:p>
    <w:p>
      <w:r>
        <w:t>where the two numerical arguments are the requested lateral dimensions in Ångstr\"om. The resulting sheet was inspected to confirm that it reproduces the expected graphene lattice: it contains 5700 carbon atoms spanning 121.6 × 119.8 Å, it is strictly planar (all atoms at z = 0, with zero dispersion), and the nearest-neighbour carbon–carbon distance is 1.418 Å, the accepted bond length of the graphene honeycomb lattice. Of the 5700 atoms, 5488 are three-coordinated, as expected for the sp² interior of the lattice, while the remaining 212 are the two– and one–coordinated atoms that necessarily terminate the edges of a finite, non-periodic sheet. These edge atoms are left unsaturated, as the model is used as a rigid surface for placement rather than in a reactive or dynamical simulation.</w:t>
      </w:r>
    </w:p>
    <w:p>
      <w:r>
        <w:t>The lateral dimensions were not chosen arbitrarily but from the measured footprints of the probes themselves (Section 4.8), so that every probe of the panel fits within the sheet with a margin.</w:t>
      </w:r>
    </w:p>
    <w:p>
      <w:pPr>
        <w:pStyle w:val="Heading3"/>
      </w:pPr>
      <w:r>
        <w:t>Assembly of the probe–graphene models</w:t>
      </w:r>
    </w:p>
    <w:p>
      <w:r>
        <w:t>Each probe was placed above the sheet by a rigid-body translation, computed with a script built on Biopython (Cock et al., 2009). The probe structure (Boltz-2 CIF) and the sheet (GOPY PDB) are read, and the probe is translated by</w:t>
      </w:r>
    </w:p>
    <w:p>
      <w:pPr>
        <w:jc w:val="center"/>
      </w:pPr>
      <w:r>
        <w:t>Δ = Bigl(barxg-barxp, baryg-baryp, (barzg+d) - min zpBigr),</w:t>
      </w:r>
    </w:p>
    <w:p>
      <w:r>
        <w:t>where barx,bary,barz denote centroid coordinates of the sheet (g) and of the probe (p), and d is the chosen separation. The first two components centre the probe over the sheet in the plane; the third places its lowest atom at a height d above the graphene plane.</w:t>
      </w:r>
    </w:p>
    <w:p>
      <w:r>
        <w:t>The separation d was taken from the literature rather than chosen arbitrarily. Van der Waals-corrected density-functional calculations place physisorbed DNA nucleobases at 3.16–3.22 Å above the graphene plane, a regime of strong physisorption dominated by van der Waals interactions (Tayo et al., 2023), consistent with the physisorption picture established for the four bases on graphene and h-BN (Lee et al., 2013). Accordingly, d = 3.2 Å was used as the default, so that the assembled model starts at the reported equilibrium contact distance. The separation is an explicit parameter of the script and can be set to any other value.</w:t>
      </w:r>
    </w:p>
    <w:p>
      <w:r>
        <w:t>The probe's internal conformation and its orientation are left untouched: the operation is a pure translation, so no coordinate is distorted.</w:t>
      </w:r>
    </w:p>
    <w:p>
      <w:r>
        <w:t>The two structures are then merged into a single model and written as one PDB file. Because the PDB format identifies each molecular entity by a single-character chain identifier, and none is reserved for non-biological components such as a graphene layer, an explicit convention was adopted here: the graphene sheet is assigned chain G and the probe chain D, the initials of graphene and DNA. The choice is arbitrary in the sense that any identifiers would serve, but keeping the two components in separate, consistently named chains is what allows either of them to be selected unambiguously in downstream tools — for instance to hold the sheet rigid during a docking or minimisation run, or to compute probe–surface distances — and the same convention is used in every model produced.</w:t>
      </w:r>
    </w:p>
    <w:p>
      <w:r>
        <w:t>Before writing, the script verifies that no probe atom falls outside the sheet footprint in x–y and refuses to produce a model with overhanging atoms, so that an undersized sheet cannot pass unnoticed. It also reports the shortest probe–sheet interatomic distance, as a check that the placement introduces no steric clash. The same script builds the entire panel in a single invocation, writing one model per probe together with a table of their measured footprints, heights and closest contacts, so that the assembly stage requires no manual intervention.</w:t>
      </w:r>
    </w:p>
    <w:p>
      <w:r>
        <w:t>It should be stressed that this procedure yields a starting geometry — a physically reasonable initial placement of the two components — and not a docked, energy-minimised or dynamically equilibrated structure. It provides the assembled input required by subsequent molecular docking or force-field refinement, but no interaction energy is computed at this stage.</w:t>
      </w:r>
    </w:p>
    <w:p>
      <w:pPr>
        <w:pStyle w:val="Heading3"/>
      </w:pPr>
      <w:r>
        <w:t>Measurement of the Debye coverage of the models</w:t>
      </w:r>
    </w:p>
    <w:p>
      <w:r>
        <w:t>From each model, the part of the probe that lies close enough to the graphene to escape electrostatic screening was measured. The mean z of the graphene atoms defines the plane of the sheet, and the height of every probe atom above it is computed. Two quantities are reported: the percentage of probe atoms whose height does not exceed the Debye length λ_D, and the number of phosphorus atoms within it. The second is the more direct measure of what the transistor senses, since the charge of DNA is carried by its phosphate groups, one negative charge each.</w:t>
      </w:r>
    </w:p>
    <w:p>
      <w:r>
        <w:t>The values of λ_D were taken from a study of DNA-hybridisation detection with graphene transistors that used these same buffers, where they were calculated with the Debye–H\"uckel approximation (Purwidyantri et al., 2021): 0.76 nm for 1× PBS, 2.41 nm for 0.1× PBS and 7.61 nm for 0.01× PBS.</w:t>
      </w:r>
    </w:p>
    <w:p>
      <w:r>
        <w:t>Three geometries were measured. The first is the rigid placement described above, which keeps the orientation predicted by Boltz-2. The second reproduces the immobilisation used in the graphene-transistor studies that define the experimental context of this work, in which the probe carries an amino modification at its 3' end and is bound through 1-Pyrenebutyric Acid Succinimidyl Ester (PBSE), a linker whose pyrene group adsorbs on graphene by π–π stacking (Campos et al., 2019; Purwidyantri et al., 2021): the probe is tethered by its 3' end. To sample the orientations such a tether allows, each predicted structure was given 20 000 orientations, drawn as directions distributed uniformly on the sphere; for a flat sheet, the height of every atom depends only on which direction of the molecule points away from the surface, so rotations about that direction need not be sampled. In each orientation the lowest atom is placed at the contact distance of 3.2 Å (Tayo et al., 2023), and the orientation is retained only if that atom belongs to the 3'-terminal nucleotide, that is, if the probe touches the sheet with its 3' end. No linker length is added, so the 3' end sits as close to the surface as possible. The median and the maximum over the retained orientations are reported. The third geometry applies the same procedure to the probe–target duplex, anchored by the 3' end of the probe, and counts the phosphates of the target strand within λ_D: the charge that hybridisation brings into the sensing volume. As a check on the predicted duplex geometry, its rise per base pair was computed from the midpoints of the C1' atoms of the paired nucleotides and compared with the 0.34 nm of B-form DNA (Watson &amp; Crick, 1953).</w:t>
      </w:r>
    </w:p>
    <w:p>
      <w:r>
        <w:t>The probes of each gene were finally compared on two independent axes, the Boltz-2 confidence and the median number of phosphates within λ_D in 1× PBS for the anchored probe. The probes on the Pareto front of the two — those for which no other probe of the same gene is at least as good on both axes and better on one — form the final selection. Using the front rather than a weighted sum avoids an arbitrary weighting of two quantities of different nature.</w:t>
      </w:r>
    </w:p>
    <w:p>
      <w:pPr>
        <w:pStyle w:val="Heading2"/>
      </w:pPr>
      <w:r>
        <w:t>Integration of a reference probe panel</w:t>
      </w:r>
    </w:p>
    <w:p>
      <w:r>
        <w:t>An existing experimental probe panel was integrated into the same workflow for comparison. Each reference probe, supplied as a (job_name, sequence, species) record, is cleaned (uracil converted to thymine, non-ACGT characters removed) and scored with exactly the same metrics as the designed probes, but by the thresholds of its own species and type. Conservation is left empty for these probes, because it is only definable for probes derived from an alignment. The reference probes are stored alongside the designed ones, with a source label, so that the two sets appear side by side with identical columns.</w:t>
      </w:r>
    </w:p>
    <w:p>
      <w:pPr>
        <w:pStyle w:val="Heading2"/>
      </w:pPr>
      <w:r>
        <w:t>Diversity and rarefaction analysis</w:t>
      </w:r>
    </w:p>
    <w:p>
      <w:r>
        <w:t>To characterise each target and to justify the sampling depth, an alignment-free analysis based on 4-mer composition is performed on the retrieved sequences. Each sequence is represented by its vector of 4-mer frequencies, and pairwise cosine distances (on the frequency vectors) and Jaccard distances (on 4-mer presence/absence) are computed, together with the fraction of unique sequences, which detects exact duplicates. A rarefaction analysis subsamples N sequences per gene and measures the mean 4-mer diversity and the richness (number of distinct 4-mers), to determine the value of N beyond which little new information is gained.</w:t>
      </w:r>
    </w:p>
    <w:p>
      <w:pPr>
        <w:pStyle w:val="Heading2"/>
      </w:pPr>
      <w:r>
        <w:t>Implementation and reproducibility</w:t>
      </w:r>
    </w:p>
    <w:p>
      <w:r>
        <w:t>All intermediate and final results are written as CSV files. Because NCBI does not always return an identical set of records, per-gene counts may vary by a few percent between runs; for strict reproducibility the accession identifiers can be frozen.</w:t>
      </w:r>
    </w:p>
    <w:p>
      <w:r>
        <w:br w:type="page"/>
      </w:r>
    </w:p>
    <w:p>
      <w:pPr>
        <w:pStyle w:val="Heading1"/>
      </w:pPr>
      <w:r>
        <w:t>Results and Discussion</w:t>
      </w:r>
    </w:p>
    <w:p>
      <w:r>
        <w:t>This chapter reports the results obtained by applying the pipeline to the six-gene panel, with 100 sequences requested per gene (and a per-gene override of 200 for the data-limited algD), with every thermodynamic quantity computed in 1× PBS at 37°C (Section 3.6). It follows the flow of the method: sequence retrieval and curation, the screening funnel, three-dimensional validation, the diversity and rarefaction analyses, the effect of the organism-aware parameters, the comparison with the reference panel, the assembly of probe–graphene models, and the curated dataset of prioritised candidates.</w:t>
      </w:r>
    </w:p>
    <w:p>
      <w:pPr>
        <w:pStyle w:val="Heading2"/>
      </w:pPr>
      <w:r>
        <w:t>Retrieval and length curation</w:t>
      </w:r>
    </w:p>
    <w:p>
      <w:r>
        <w:t>Table 4.1 shows, for each gene, the number of sequences returned by NCBI and the number retained after length clustering. The clustering step removed partial and oversized records that would otherwise degrade the alignment; its effect is largest for the genes with the most heterogeneous records. Two genes, oprL and algD, are intrinsically data-limited in NCBI (only 24 and 12 sequences survive respectively), which, as shown below, is reflected in their behaviour through the pipeline.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w:t>
            </w:r>
          </w:p>
        </w:tc>
        <w:tc>
          <w:tcPr>
            <w:tcW w:type="dxa" w:w="2160"/>
          </w:tcPr>
          <w:p>
            <w:r>
              <w:rPr>
                <w:b/>
                <w:sz w:val="18"/>
              </w:rPr>
              <w:t>Retrieved</w:t>
            </w:r>
          </w:p>
        </w:tc>
        <w:tc>
          <w:tcPr>
            <w:tcW w:type="dxa" w:w="2160"/>
          </w:tcPr>
          <w:p>
            <w:r>
              <w:rPr>
                <w:b/>
                <w:sz w:val="18"/>
              </w:rPr>
              <w:t>After clustering</w:t>
            </w:r>
          </w:p>
        </w:tc>
        <w:tc>
          <w:tcPr>
            <w:tcW w:type="dxa" w:w="2160"/>
          </w:tcPr>
          <w:p>
            <w:r>
              <w:rPr>
                <w:b/>
                <w:sz w:val="18"/>
              </w:rPr>
              <w:t>Alignment (cols)</w:t>
            </w:r>
          </w:p>
        </w:tc>
      </w:tr>
      <w:tr>
        <w:tc>
          <w:tcPr>
            <w:tcW w:type="dxa" w:w="2160"/>
          </w:tcPr>
          <w:p>
            <w:r>
              <w:rPr>
                <w:sz w:val="18"/>
              </w:rPr>
              <w:t>nuc</w:t>
            </w:r>
          </w:p>
        </w:tc>
        <w:tc>
          <w:tcPr>
            <w:tcW w:type="dxa" w:w="2160"/>
          </w:tcPr>
          <w:p>
            <w:r>
              <w:rPr>
                <w:sz w:val="18"/>
              </w:rPr>
              <w:t>99</w:t>
            </w:r>
          </w:p>
        </w:tc>
        <w:tc>
          <w:tcPr>
            <w:tcW w:type="dxa" w:w="2160"/>
          </w:tcPr>
          <w:p>
            <w:r>
              <w:rPr>
                <w:sz w:val="18"/>
              </w:rPr>
              <w:t>77</w:t>
            </w:r>
          </w:p>
        </w:tc>
        <w:tc>
          <w:tcPr>
            <w:tcW w:type="dxa" w:w="2160"/>
          </w:tcPr>
          <w:p>
            <w:r>
              <w:rPr>
                <w:sz w:val="18"/>
              </w:rPr>
              <w:t>517</w:t>
            </w:r>
          </w:p>
        </w:tc>
      </w:tr>
      <w:tr>
        <w:tc>
          <w:tcPr>
            <w:tcW w:type="dxa" w:w="2160"/>
          </w:tcPr>
          <w:p>
            <w:r>
              <w:rPr>
                <w:sz w:val="18"/>
              </w:rPr>
              <w:t>rmpM</w:t>
            </w:r>
          </w:p>
        </w:tc>
        <w:tc>
          <w:tcPr>
            <w:tcW w:type="dxa" w:w="2160"/>
          </w:tcPr>
          <w:p>
            <w:r>
              <w:rPr>
                <w:sz w:val="18"/>
              </w:rPr>
              <w:t>100</w:t>
            </w:r>
          </w:p>
        </w:tc>
        <w:tc>
          <w:tcPr>
            <w:tcW w:type="dxa" w:w="2160"/>
          </w:tcPr>
          <w:p>
            <w:r>
              <w:rPr>
                <w:sz w:val="18"/>
              </w:rPr>
              <w:t>76</w:t>
            </w:r>
          </w:p>
        </w:tc>
        <w:tc>
          <w:tcPr>
            <w:tcW w:type="dxa" w:w="2160"/>
          </w:tcPr>
          <w:p>
            <w:r>
              <w:rPr>
                <w:sz w:val="18"/>
              </w:rPr>
              <w:t>1311</w:t>
            </w:r>
          </w:p>
        </w:tc>
      </w:tr>
      <w:tr>
        <w:tc>
          <w:tcPr>
            <w:tcW w:type="dxa" w:w="2160"/>
          </w:tcPr>
          <w:p>
            <w:r>
              <w:rPr>
                <w:sz w:val="18"/>
              </w:rPr>
              <w:t>lytA</w:t>
            </w:r>
          </w:p>
        </w:tc>
        <w:tc>
          <w:tcPr>
            <w:tcW w:type="dxa" w:w="2160"/>
          </w:tcPr>
          <w:p>
            <w:r>
              <w:rPr>
                <w:sz w:val="18"/>
              </w:rPr>
              <w:t>95</w:t>
            </w:r>
          </w:p>
        </w:tc>
        <w:tc>
          <w:tcPr>
            <w:tcW w:type="dxa" w:w="2160"/>
          </w:tcPr>
          <w:p>
            <w:r>
              <w:rPr>
                <w:sz w:val="18"/>
              </w:rPr>
              <w:t>87</w:t>
            </w:r>
          </w:p>
        </w:tc>
        <w:tc>
          <w:tcPr>
            <w:tcW w:type="dxa" w:w="2160"/>
          </w:tcPr>
          <w:p>
            <w:r>
              <w:rPr>
                <w:sz w:val="18"/>
              </w:rPr>
              <w:t>2594</w:t>
            </w:r>
          </w:p>
        </w:tc>
      </w:tr>
      <w:tr>
        <w:tc>
          <w:tcPr>
            <w:tcW w:type="dxa" w:w="2160"/>
          </w:tcPr>
          <w:p>
            <w:r>
              <w:rPr>
                <w:sz w:val="18"/>
              </w:rPr>
              <w:t>oprL</w:t>
            </w:r>
          </w:p>
        </w:tc>
        <w:tc>
          <w:tcPr>
            <w:tcW w:type="dxa" w:w="2160"/>
          </w:tcPr>
          <w:p>
            <w:r>
              <w:rPr>
                <w:sz w:val="18"/>
              </w:rPr>
              <w:t>27</w:t>
            </w:r>
          </w:p>
        </w:tc>
        <w:tc>
          <w:tcPr>
            <w:tcW w:type="dxa" w:w="2160"/>
          </w:tcPr>
          <w:p>
            <w:r>
              <w:rPr>
                <w:sz w:val="18"/>
              </w:rPr>
              <w:t>24</w:t>
            </w:r>
          </w:p>
        </w:tc>
        <w:tc>
          <w:tcPr>
            <w:tcW w:type="dxa" w:w="2160"/>
          </w:tcPr>
          <w:p>
            <w:r>
              <w:rPr>
                <w:sz w:val="18"/>
              </w:rPr>
              <w:t>770</w:t>
            </w:r>
          </w:p>
        </w:tc>
      </w:tr>
      <w:tr>
        <w:tc>
          <w:tcPr>
            <w:tcW w:type="dxa" w:w="2160"/>
          </w:tcPr>
          <w:p>
            <w:r>
              <w:rPr>
                <w:sz w:val="18"/>
              </w:rPr>
              <w:t>algD</w:t>
            </w:r>
          </w:p>
        </w:tc>
        <w:tc>
          <w:tcPr>
            <w:tcW w:type="dxa" w:w="2160"/>
          </w:tcPr>
          <w:p>
            <w:r>
              <w:rPr>
                <w:sz w:val="18"/>
              </w:rPr>
              <w:t>19</w:t>
            </w:r>
          </w:p>
        </w:tc>
        <w:tc>
          <w:tcPr>
            <w:tcW w:type="dxa" w:w="2160"/>
          </w:tcPr>
          <w:p>
            <w:r>
              <w:rPr>
                <w:sz w:val="18"/>
              </w:rPr>
              <w:t>12</w:t>
            </w:r>
          </w:p>
        </w:tc>
        <w:tc>
          <w:tcPr>
            <w:tcW w:type="dxa" w:w="2160"/>
          </w:tcPr>
          <w:p>
            <w:r>
              <w:rPr>
                <w:sz w:val="18"/>
              </w:rPr>
              <w:t>1020</w:t>
            </w:r>
          </w:p>
        </w:tc>
      </w:tr>
      <w:tr>
        <w:tc>
          <w:tcPr>
            <w:tcW w:type="dxa" w:w="2160"/>
          </w:tcPr>
          <w:p>
            <w:r>
              <w:rPr>
                <w:sz w:val="18"/>
              </w:rPr>
              <w:t>frdB</w:t>
            </w:r>
          </w:p>
        </w:tc>
        <w:tc>
          <w:tcPr>
            <w:tcW w:type="dxa" w:w="2160"/>
          </w:tcPr>
          <w:p>
            <w:r>
              <w:rPr>
                <w:sz w:val="18"/>
              </w:rPr>
              <w:t>82</w:t>
            </w:r>
          </w:p>
        </w:tc>
        <w:tc>
          <w:tcPr>
            <w:tcW w:type="dxa" w:w="2160"/>
          </w:tcPr>
          <w:p>
            <w:r>
              <w:rPr>
                <w:sz w:val="18"/>
              </w:rPr>
              <w:t>82</w:t>
            </w:r>
          </w:p>
        </w:tc>
        <w:tc>
          <w:tcPr>
            <w:tcW w:type="dxa" w:w="2160"/>
          </w:tcPr>
          <w:p>
            <w:r>
              <w:rPr>
                <w:sz w:val="18"/>
              </w:rPr>
              <w:t>489</w:t>
            </w:r>
          </w:p>
        </w:tc>
      </w:tr>
    </w:tbl>
    <w:p>
      <w:pPr>
        <w:spacing w:after="240"/>
      </w:pPr>
      <w:r>
        <w:rPr>
          <w:b/>
          <w:sz w:val="18"/>
        </w:rPr>
        <w:t xml:space="preserve">Table 4.1. </w:t>
      </w:r>
      <w:r>
        <w:rPr>
          <w:sz w:val="18"/>
        </w:rPr>
        <w:t>Sequences retrieved and retained per gene, and the resulting alignment width.</w:t>
      </w:r>
    </w:p>
    <w:p>
      <w:pPr>
        <w:pStyle w:val="Heading2"/>
      </w:pPr>
      <w:r>
        <w:t>Screening funnel</w:t>
      </w:r>
    </w:p>
    <w:p>
      <w:r>
        <w:t>Across the six genes, the pipeline generated 7661 candidate windows and filtered them down to 2439 that passed both the thermodynamic screen and the secondary-structure screen (Table 4.2). The GC, melting-temperature and homodimer filters remove the largest numbers of windows (1687, 1609 and 1403, respectively), as expected, since they encode the core hybridisation requirements. The homodimer filter is most severe for oprL, rmpM and algD, removing 55, 47 and 41% of the windows that reach it, and mildest for the AT-rich nuc (8%). In the GC-rich P. aeruginosa genes, the upper bound of the T_m window also removes many windows (583 of the 1360 of oprL and 368 of the 1012 of algD), since G–C pairs raise the stability of the duplex (SantaLucia Jr. &amp; Hicks, 2004); this is the purpose of that bound, which excludes over-stable probes, and it still leaves 254 and 288 candidates for the two genes. The secondary-structure screen removes only 136 further windows, confirming that most structurally problematic candidates are already eliminated by the thermodynamic filters.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Gene</w:t>
            </w:r>
          </w:p>
        </w:tc>
        <w:tc>
          <w:tcPr>
            <w:tcW w:type="dxa" w:w="1234"/>
          </w:tcPr>
          <w:p>
            <w:r>
              <w:rPr>
                <w:b/>
                <w:sz w:val="18"/>
              </w:rPr>
              <w:t>Windows</w:t>
            </w:r>
          </w:p>
        </w:tc>
        <w:tc>
          <w:tcPr>
            <w:tcW w:type="dxa" w:w="1234"/>
          </w:tcPr>
          <w:p>
            <w:r>
              <w:rPr>
                <w:b/>
                <w:sz w:val="18"/>
              </w:rPr>
              <w:t>T_m</w:t>
            </w:r>
          </w:p>
        </w:tc>
        <w:tc>
          <w:tcPr>
            <w:tcW w:type="dxa" w:w="1234"/>
          </w:tcPr>
          <w:p>
            <w:r>
              <w:rPr>
                <w:b/>
                <w:sz w:val="18"/>
              </w:rPr>
              <w:t>GC</w:t>
            </w:r>
          </w:p>
        </w:tc>
        <w:tc>
          <w:tcPr>
            <w:tcW w:type="dxa" w:w="1234"/>
          </w:tcPr>
          <w:p>
            <w:r>
              <w:rPr>
                <w:b/>
                <w:sz w:val="18"/>
              </w:rPr>
              <w:t>Hairpin</w:t>
            </w:r>
          </w:p>
        </w:tc>
        <w:tc>
          <w:tcPr>
            <w:tcW w:type="dxa" w:w="1234"/>
          </w:tcPr>
          <w:p>
            <w:r>
              <w:rPr>
                <w:b/>
                <w:sz w:val="18"/>
              </w:rPr>
              <w:t>Basic</w:t>
            </w:r>
          </w:p>
        </w:tc>
        <w:tc>
          <w:tcPr>
            <w:tcW w:type="dxa" w:w="1234"/>
          </w:tcPr>
          <w:p>
            <w:r>
              <w:rPr>
                <w:b/>
                <w:sz w:val="18"/>
              </w:rPr>
              <w:t>Seqfold</w:t>
            </w:r>
          </w:p>
        </w:tc>
      </w:tr>
      <w:tr>
        <w:tc>
          <w:tcPr>
            <w:tcW w:type="dxa" w:w="1234"/>
          </w:tcPr>
          <w:p>
            <w:r>
              <w:rPr>
                <w:sz w:val="18"/>
              </w:rPr>
              <w:t>nuc</w:t>
            </w:r>
          </w:p>
        </w:tc>
        <w:tc>
          <w:tcPr>
            <w:tcW w:type="dxa" w:w="1234"/>
          </w:tcPr>
          <w:p>
            <w:r>
              <w:rPr>
                <w:sz w:val="18"/>
              </w:rPr>
              <w:t>667</w:t>
            </w:r>
          </w:p>
        </w:tc>
        <w:tc>
          <w:tcPr>
            <w:tcW w:type="dxa" w:w="1234"/>
          </w:tcPr>
          <w:p>
            <w:r>
              <w:rPr>
                <w:sz w:val="18"/>
              </w:rPr>
              <w:t>572</w:t>
            </w:r>
          </w:p>
        </w:tc>
        <w:tc>
          <w:tcPr>
            <w:tcW w:type="dxa" w:w="1234"/>
          </w:tcPr>
          <w:p>
            <w:r>
              <w:rPr>
                <w:sz w:val="18"/>
              </w:rPr>
              <w:t>212</w:t>
            </w:r>
          </w:p>
        </w:tc>
        <w:tc>
          <w:tcPr>
            <w:tcW w:type="dxa" w:w="1234"/>
          </w:tcPr>
          <w:p>
            <w:r>
              <w:rPr>
                <w:sz w:val="18"/>
              </w:rPr>
              <w:t>197</w:t>
            </w:r>
          </w:p>
        </w:tc>
        <w:tc>
          <w:tcPr>
            <w:tcW w:type="dxa" w:w="1234"/>
          </w:tcPr>
          <w:p>
            <w:r>
              <w:rPr>
                <w:sz w:val="18"/>
              </w:rPr>
              <w:t>181</w:t>
            </w:r>
          </w:p>
        </w:tc>
        <w:tc>
          <w:tcPr>
            <w:tcW w:type="dxa" w:w="1234"/>
          </w:tcPr>
          <w:p>
            <w:r>
              <w:rPr>
                <w:sz w:val="18"/>
              </w:rPr>
              <w:t>164</w:t>
            </w:r>
          </w:p>
        </w:tc>
      </w:tr>
      <w:tr>
        <w:tc>
          <w:tcPr>
            <w:tcW w:type="dxa" w:w="1234"/>
          </w:tcPr>
          <w:p>
            <w:r>
              <w:rPr>
                <w:sz w:val="18"/>
              </w:rPr>
              <w:t>rmpM</w:t>
            </w:r>
          </w:p>
        </w:tc>
        <w:tc>
          <w:tcPr>
            <w:tcW w:type="dxa" w:w="1234"/>
          </w:tcPr>
          <w:p>
            <w:r>
              <w:rPr>
                <w:sz w:val="18"/>
              </w:rPr>
              <w:t>1073</w:t>
            </w:r>
          </w:p>
        </w:tc>
        <w:tc>
          <w:tcPr>
            <w:tcW w:type="dxa" w:w="1234"/>
          </w:tcPr>
          <w:p>
            <w:r>
              <w:rPr>
                <w:sz w:val="18"/>
              </w:rPr>
              <w:t>893</w:t>
            </w:r>
          </w:p>
        </w:tc>
        <w:tc>
          <w:tcPr>
            <w:tcW w:type="dxa" w:w="1234"/>
          </w:tcPr>
          <w:p>
            <w:r>
              <w:rPr>
                <w:sz w:val="18"/>
              </w:rPr>
              <w:t>683</w:t>
            </w:r>
          </w:p>
        </w:tc>
        <w:tc>
          <w:tcPr>
            <w:tcW w:type="dxa" w:w="1234"/>
          </w:tcPr>
          <w:p>
            <w:r>
              <w:rPr>
                <w:sz w:val="18"/>
              </w:rPr>
              <w:t>607</w:t>
            </w:r>
          </w:p>
        </w:tc>
        <w:tc>
          <w:tcPr>
            <w:tcW w:type="dxa" w:w="1234"/>
          </w:tcPr>
          <w:p>
            <w:r>
              <w:rPr>
                <w:sz w:val="18"/>
              </w:rPr>
              <w:t>322</w:t>
            </w:r>
          </w:p>
        </w:tc>
        <w:tc>
          <w:tcPr>
            <w:tcW w:type="dxa" w:w="1234"/>
          </w:tcPr>
          <w:p>
            <w:r>
              <w:rPr>
                <w:sz w:val="18"/>
              </w:rPr>
              <w:t>320</w:t>
            </w:r>
          </w:p>
        </w:tc>
      </w:tr>
      <w:tr>
        <w:tc>
          <w:tcPr>
            <w:tcW w:type="dxa" w:w="1234"/>
          </w:tcPr>
          <w:p>
            <w:r>
              <w:rPr>
                <w:sz w:val="18"/>
              </w:rPr>
              <w:t>lytA</w:t>
            </w:r>
          </w:p>
        </w:tc>
        <w:tc>
          <w:tcPr>
            <w:tcW w:type="dxa" w:w="1234"/>
          </w:tcPr>
          <w:p>
            <w:r>
              <w:rPr>
                <w:sz w:val="18"/>
              </w:rPr>
              <w:t>1833</w:t>
            </w:r>
          </w:p>
        </w:tc>
        <w:tc>
          <w:tcPr>
            <w:tcW w:type="dxa" w:w="1234"/>
          </w:tcPr>
          <w:p>
            <w:r>
              <w:rPr>
                <w:sz w:val="18"/>
              </w:rPr>
              <w:t>1671</w:t>
            </w:r>
          </w:p>
        </w:tc>
        <w:tc>
          <w:tcPr>
            <w:tcW w:type="dxa" w:w="1234"/>
          </w:tcPr>
          <w:p>
            <w:r>
              <w:rPr>
                <w:sz w:val="18"/>
              </w:rPr>
              <w:t>1234</w:t>
            </w:r>
          </w:p>
        </w:tc>
        <w:tc>
          <w:tcPr>
            <w:tcW w:type="dxa" w:w="1234"/>
          </w:tcPr>
          <w:p>
            <w:r>
              <w:rPr>
                <w:sz w:val="18"/>
              </w:rPr>
              <w:t>1153</w:t>
            </w:r>
          </w:p>
        </w:tc>
        <w:tc>
          <w:tcPr>
            <w:tcW w:type="dxa" w:w="1234"/>
          </w:tcPr>
          <w:p>
            <w:r>
              <w:rPr>
                <w:sz w:val="18"/>
              </w:rPr>
              <w:t>876</w:t>
            </w:r>
          </w:p>
        </w:tc>
        <w:tc>
          <w:tcPr>
            <w:tcW w:type="dxa" w:w="1234"/>
          </w:tcPr>
          <w:p>
            <w:r>
              <w:rPr>
                <w:sz w:val="18"/>
              </w:rPr>
              <w:t>799</w:t>
            </w:r>
          </w:p>
        </w:tc>
      </w:tr>
      <w:tr>
        <w:tc>
          <w:tcPr>
            <w:tcW w:type="dxa" w:w="1234"/>
          </w:tcPr>
          <w:p>
            <w:r>
              <w:rPr>
                <w:sz w:val="18"/>
              </w:rPr>
              <w:t>oprL</w:t>
            </w:r>
          </w:p>
        </w:tc>
        <w:tc>
          <w:tcPr>
            <w:tcW w:type="dxa" w:w="1234"/>
          </w:tcPr>
          <w:p>
            <w:r>
              <w:rPr>
                <w:sz w:val="18"/>
              </w:rPr>
              <w:t>1360</w:t>
            </w:r>
          </w:p>
        </w:tc>
        <w:tc>
          <w:tcPr>
            <w:tcW w:type="dxa" w:w="1234"/>
          </w:tcPr>
          <w:p>
            <w:r>
              <w:rPr>
                <w:sz w:val="18"/>
              </w:rPr>
              <w:t>773</w:t>
            </w:r>
          </w:p>
        </w:tc>
        <w:tc>
          <w:tcPr>
            <w:tcW w:type="dxa" w:w="1234"/>
          </w:tcPr>
          <w:p>
            <w:r>
              <w:rPr>
                <w:sz w:val="18"/>
              </w:rPr>
              <w:t>669</w:t>
            </w:r>
          </w:p>
        </w:tc>
        <w:tc>
          <w:tcPr>
            <w:tcW w:type="dxa" w:w="1234"/>
          </w:tcPr>
          <w:p>
            <w:r>
              <w:rPr>
                <w:sz w:val="18"/>
              </w:rPr>
              <w:t>576</w:t>
            </w:r>
          </w:p>
        </w:tc>
        <w:tc>
          <w:tcPr>
            <w:tcW w:type="dxa" w:w="1234"/>
          </w:tcPr>
          <w:p>
            <w:r>
              <w:rPr>
                <w:sz w:val="18"/>
              </w:rPr>
              <w:t>261</w:t>
            </w:r>
          </w:p>
        </w:tc>
        <w:tc>
          <w:tcPr>
            <w:tcW w:type="dxa" w:w="1234"/>
          </w:tcPr>
          <w:p>
            <w:r>
              <w:rPr>
                <w:sz w:val="18"/>
              </w:rPr>
              <w:t>254</w:t>
            </w:r>
          </w:p>
        </w:tc>
      </w:tr>
      <w:tr>
        <w:tc>
          <w:tcPr>
            <w:tcW w:type="dxa" w:w="1234"/>
          </w:tcPr>
          <w:p>
            <w:r>
              <w:rPr>
                <w:sz w:val="18"/>
              </w:rPr>
              <w:t>algD</w:t>
            </w:r>
          </w:p>
        </w:tc>
        <w:tc>
          <w:tcPr>
            <w:tcW w:type="dxa" w:w="1234"/>
          </w:tcPr>
          <w:p>
            <w:r>
              <w:rPr>
                <w:sz w:val="18"/>
              </w:rPr>
              <w:t>1012</w:t>
            </w:r>
          </w:p>
        </w:tc>
        <w:tc>
          <w:tcPr>
            <w:tcW w:type="dxa" w:w="1234"/>
          </w:tcPr>
          <w:p>
            <w:r>
              <w:rPr>
                <w:sz w:val="18"/>
              </w:rPr>
              <w:t>644</w:t>
            </w:r>
          </w:p>
        </w:tc>
        <w:tc>
          <w:tcPr>
            <w:tcW w:type="dxa" w:w="1234"/>
          </w:tcPr>
          <w:p>
            <w:r>
              <w:rPr>
                <w:sz w:val="18"/>
              </w:rPr>
              <w:t>580</w:t>
            </w:r>
          </w:p>
        </w:tc>
        <w:tc>
          <w:tcPr>
            <w:tcW w:type="dxa" w:w="1234"/>
          </w:tcPr>
          <w:p>
            <w:r>
              <w:rPr>
                <w:sz w:val="18"/>
              </w:rPr>
              <w:t>522</w:t>
            </w:r>
          </w:p>
        </w:tc>
        <w:tc>
          <w:tcPr>
            <w:tcW w:type="dxa" w:w="1234"/>
          </w:tcPr>
          <w:p>
            <w:r>
              <w:rPr>
                <w:sz w:val="18"/>
              </w:rPr>
              <w:t>308</w:t>
            </w:r>
          </w:p>
        </w:tc>
        <w:tc>
          <w:tcPr>
            <w:tcW w:type="dxa" w:w="1234"/>
          </w:tcPr>
          <w:p>
            <w:r>
              <w:rPr>
                <w:sz w:val="18"/>
              </w:rPr>
              <w:t>288</w:t>
            </w:r>
          </w:p>
        </w:tc>
      </w:tr>
      <w:tr>
        <w:tc>
          <w:tcPr>
            <w:tcW w:type="dxa" w:w="1234"/>
          </w:tcPr>
          <w:p>
            <w:r>
              <w:rPr>
                <w:sz w:val="18"/>
              </w:rPr>
              <w:t>frdB</w:t>
            </w:r>
          </w:p>
        </w:tc>
        <w:tc>
          <w:tcPr>
            <w:tcW w:type="dxa" w:w="1234"/>
          </w:tcPr>
          <w:p>
            <w:r>
              <w:rPr>
                <w:sz w:val="18"/>
              </w:rPr>
              <w:t>1716</w:t>
            </w:r>
          </w:p>
        </w:tc>
        <w:tc>
          <w:tcPr>
            <w:tcW w:type="dxa" w:w="1234"/>
          </w:tcPr>
          <w:p>
            <w:r>
              <w:rPr>
                <w:sz w:val="18"/>
              </w:rPr>
              <w:t>1499</w:t>
            </w:r>
          </w:p>
        </w:tc>
        <w:tc>
          <w:tcPr>
            <w:tcW w:type="dxa" w:w="1234"/>
          </w:tcPr>
          <w:p>
            <w:r>
              <w:rPr>
                <w:sz w:val="18"/>
              </w:rPr>
              <w:t>987</w:t>
            </w:r>
          </w:p>
        </w:tc>
        <w:tc>
          <w:tcPr>
            <w:tcW w:type="dxa" w:w="1234"/>
          </w:tcPr>
          <w:p>
            <w:r>
              <w:rPr>
                <w:sz w:val="18"/>
              </w:rPr>
              <w:t>923</w:t>
            </w:r>
          </w:p>
        </w:tc>
        <w:tc>
          <w:tcPr>
            <w:tcW w:type="dxa" w:w="1234"/>
          </w:tcPr>
          <w:p>
            <w:r>
              <w:rPr>
                <w:sz w:val="18"/>
              </w:rPr>
              <w:t>627</w:t>
            </w:r>
          </w:p>
        </w:tc>
        <w:tc>
          <w:tcPr>
            <w:tcW w:type="dxa" w:w="1234"/>
          </w:tcPr>
          <w:p>
            <w:r>
              <w:rPr>
                <w:sz w:val="18"/>
              </w:rPr>
              <w:t>614</w:t>
            </w:r>
          </w:p>
        </w:tc>
      </w:tr>
      <w:tr>
        <w:tc>
          <w:tcPr>
            <w:tcW w:type="dxa" w:w="1234"/>
          </w:tcPr>
          <w:p>
            <w:r>
              <w:rPr>
                <w:sz w:val="18"/>
              </w:rPr>
              <w:t>Total</w:t>
            </w:r>
          </w:p>
        </w:tc>
        <w:tc>
          <w:tcPr>
            <w:tcW w:type="dxa" w:w="1234"/>
          </w:tcPr>
          <w:p>
            <w:r>
              <w:rPr>
                <w:sz w:val="18"/>
              </w:rPr>
              <w:t>7661</w:t>
            </w:r>
          </w:p>
        </w:tc>
        <w:tc>
          <w:tcPr>
            <w:tcW w:type="dxa" w:w="1234"/>
          </w:tcPr>
          <w:p>
            <w:r>
              <w:rPr>
                <w:sz w:val="18"/>
              </w:rPr>
              <w:t>6052</w:t>
            </w:r>
          </w:p>
        </w:tc>
        <w:tc>
          <w:tcPr>
            <w:tcW w:type="dxa" w:w="1234"/>
          </w:tcPr>
          <w:p>
            <w:r>
              <w:rPr>
                <w:sz w:val="18"/>
              </w:rPr>
              <w:t>4365</w:t>
            </w:r>
          </w:p>
        </w:tc>
        <w:tc>
          <w:tcPr>
            <w:tcW w:type="dxa" w:w="1234"/>
          </w:tcPr>
          <w:p>
            <w:r>
              <w:rPr>
                <w:sz w:val="18"/>
              </w:rPr>
              <w:t>3978</w:t>
            </w:r>
          </w:p>
        </w:tc>
        <w:tc>
          <w:tcPr>
            <w:tcW w:type="dxa" w:w="1234"/>
          </w:tcPr>
          <w:p>
            <w:r>
              <w:rPr>
                <w:sz w:val="18"/>
              </w:rPr>
              <w:t>2575</w:t>
            </w:r>
          </w:p>
        </w:tc>
        <w:tc>
          <w:tcPr>
            <w:tcW w:type="dxa" w:w="1234"/>
          </w:tcPr>
          <w:p>
            <w:r>
              <w:rPr>
                <w:sz w:val="18"/>
              </w:rPr>
              <w:t>2439</w:t>
            </w:r>
          </w:p>
        </w:tc>
      </w:tr>
    </w:tbl>
    <w:p>
      <w:pPr>
        <w:spacing w:after="240"/>
      </w:pPr>
      <w:r>
        <w:rPr>
          <w:b/>
          <w:sz w:val="18"/>
        </w:rPr>
        <w:t xml:space="preserve">Table 4.2. </w:t>
      </w:r>
      <w:r>
        <w:rPr>
          <w:sz w:val="18"/>
        </w:rPr>
        <w:t>Screening funnel in 1× PBS: candidate windows surviving each successive filter.</w:t>
        <w:br/>
        <w:t>“Basic” is the number passing all four thermodynamic criteria; “Seqfold” additionally passes the</w:t>
        <w:br/>
        <w:t>secondary-structure screen.</w:t>
      </w:r>
    </w:p>
    <w:p>
      <w:pPr>
        <w:pStyle w:val="Heading2"/>
      </w:pPr>
      <w:r>
        <w:t>Three-dimensional validation</w:t>
      </w:r>
    </w:p>
    <w:p>
      <w:r>
        <w:t>From the candidates that passed screening, the five highest-quality per gene (30 probes in total) were selected by the quality score and submitted to Boltz-2, each both as a single strand and as a duplex with its complementary target. All 60 predictions completed successfully.</w:t>
      </w:r>
    </w:p>
    <w:p>
      <w:r>
        <w:rPr>
          <w:b/>
        </w:rPr>
        <w:t xml:space="preserve">Single strands. </w:t>
      </w:r>
      <w:r>
        <w:t>By the overall confidence, 4 probes were classified as good (≥ 0.70), 13 as moderate (0.60–0.70) and 13 as low (below 0.60), with confidences between 0.487 and 0.752 and a mean of 0.610. The four good probes belong to four different genes (Table 4.3), so the panel does not concentrate its best-predicted structures in a single target. These values are modest in absolute terms, which is expected: the confidence of Boltz-2, like that of AlphaFold 3 on which its metrics are modelled</w:t>
      </w:r>
    </w:p>
    <w:p>
      <w:r>
        <w:t>(Abramson et al., 2024; Wohlwend et al., 2024), is calibrated primarily on proteins, and a short unpaired ssDNA strand has no single well-defined fold to predict. They are therefore used here as relative indicators among probes of comparable length, not as absolute measures of structural correctness.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Probe</w:t>
            </w:r>
          </w:p>
        </w:tc>
        <w:tc>
          <w:tcPr>
            <w:tcW w:type="dxa" w:w="1440"/>
          </w:tcPr>
          <w:p>
            <w:r>
              <w:rPr>
                <w:b/>
                <w:sz w:val="18"/>
              </w:rPr>
              <w:t>Gene</w:t>
            </w:r>
          </w:p>
        </w:tc>
        <w:tc>
          <w:tcPr>
            <w:tcW w:type="dxa" w:w="1440"/>
          </w:tcPr>
          <w:p>
            <w:r>
              <w:rPr>
                <w:b/>
                <w:sz w:val="18"/>
              </w:rPr>
              <w:t>PPI</w:t>
            </w:r>
          </w:p>
        </w:tc>
        <w:tc>
          <w:tcPr>
            <w:tcW w:type="dxa" w:w="1440"/>
          </w:tcPr>
          <w:p>
            <w:r>
              <w:rPr>
                <w:b/>
                <w:sz w:val="18"/>
              </w:rPr>
              <w:t>No-fold</w:t>
            </w:r>
          </w:p>
        </w:tc>
        <w:tc>
          <w:tcPr>
            <w:tcW w:type="dxa" w:w="1440"/>
          </w:tcPr>
          <w:p>
            <w:r>
              <w:rPr>
                <w:b/>
                <w:sz w:val="18"/>
              </w:rPr>
              <w:t>Confidence</w:t>
            </w:r>
          </w:p>
        </w:tc>
        <w:tc>
          <w:tcPr>
            <w:tcW w:type="dxa" w:w="1440"/>
          </w:tcPr>
          <w:p>
            <w:r>
              <w:rPr>
                <w:b/>
                <w:sz w:val="18"/>
              </w:rPr>
              <w:t>pLDDT</w:t>
            </w:r>
          </w:p>
        </w:tc>
      </w:tr>
      <w:tr>
        <w:tc>
          <w:tcPr>
            <w:tcW w:type="dxa" w:w="1440"/>
          </w:tcPr>
          <w:p>
            <w:r>
              <w:rPr>
                <w:sz w:val="18"/>
              </w:rPr>
              <w:t>p598</w:t>
            </w:r>
          </w:p>
        </w:tc>
        <w:tc>
          <w:tcPr>
            <w:tcW w:type="dxa" w:w="1440"/>
          </w:tcPr>
          <w:p>
            <w:r>
              <w:rPr>
                <w:sz w:val="18"/>
              </w:rPr>
              <w:t>nuc</w:t>
            </w:r>
          </w:p>
        </w:tc>
        <w:tc>
          <w:tcPr>
            <w:tcW w:type="dxa" w:w="1440"/>
          </w:tcPr>
          <w:p>
            <w:r>
              <w:rPr>
                <w:sz w:val="18"/>
              </w:rPr>
              <w:t>0.995</w:t>
            </w:r>
          </w:p>
        </w:tc>
        <w:tc>
          <w:tcPr>
            <w:tcW w:type="dxa" w:w="1440"/>
          </w:tcPr>
          <w:p>
            <w:r>
              <w:rPr>
                <w:sz w:val="18"/>
              </w:rPr>
              <w:t>96.1</w:t>
            </w:r>
          </w:p>
        </w:tc>
        <w:tc>
          <w:tcPr>
            <w:tcW w:type="dxa" w:w="1440"/>
          </w:tcPr>
          <w:p>
            <w:r>
              <w:rPr>
                <w:sz w:val="18"/>
              </w:rPr>
              <w:t>0.752</w:t>
            </w:r>
          </w:p>
        </w:tc>
        <w:tc>
          <w:tcPr>
            <w:tcW w:type="dxa" w:w="1440"/>
          </w:tcPr>
          <w:p>
            <w:r>
              <w:rPr>
                <w:sz w:val="18"/>
              </w:rPr>
              <w:t>0.896</w:t>
            </w:r>
          </w:p>
        </w:tc>
      </w:tr>
      <w:tr>
        <w:tc>
          <w:tcPr>
            <w:tcW w:type="dxa" w:w="1440"/>
          </w:tcPr>
          <w:p>
            <w:r>
              <w:rPr>
                <w:sz w:val="18"/>
              </w:rPr>
              <w:t>p5178</w:t>
            </w:r>
          </w:p>
        </w:tc>
        <w:tc>
          <w:tcPr>
            <w:tcW w:type="dxa" w:w="1440"/>
          </w:tcPr>
          <w:p>
            <w:r>
              <w:rPr>
                <w:sz w:val="18"/>
              </w:rPr>
              <w:t>algD</w:t>
            </w:r>
          </w:p>
        </w:tc>
        <w:tc>
          <w:tcPr>
            <w:tcW w:type="dxa" w:w="1440"/>
          </w:tcPr>
          <w:p>
            <w:r>
              <w:rPr>
                <w:sz w:val="18"/>
              </w:rPr>
              <w:t>0.929</w:t>
            </w:r>
          </w:p>
        </w:tc>
        <w:tc>
          <w:tcPr>
            <w:tcW w:type="dxa" w:w="1440"/>
          </w:tcPr>
          <w:p>
            <w:r>
              <w:rPr>
                <w:sz w:val="18"/>
              </w:rPr>
              <w:t>91.7</w:t>
            </w:r>
          </w:p>
        </w:tc>
        <w:tc>
          <w:tcPr>
            <w:tcW w:type="dxa" w:w="1440"/>
          </w:tcPr>
          <w:p>
            <w:r>
              <w:rPr>
                <w:sz w:val="18"/>
              </w:rPr>
              <w:t>0.738</w:t>
            </w:r>
          </w:p>
        </w:tc>
        <w:tc>
          <w:tcPr>
            <w:tcW w:type="dxa" w:w="1440"/>
          </w:tcPr>
          <w:p>
            <w:r>
              <w:rPr>
                <w:sz w:val="18"/>
              </w:rPr>
              <w:t>0.909</w:t>
            </w:r>
          </w:p>
        </w:tc>
      </w:tr>
      <w:tr>
        <w:tc>
          <w:tcPr>
            <w:tcW w:type="dxa" w:w="1440"/>
          </w:tcPr>
          <w:p>
            <w:r>
              <w:rPr>
                <w:sz w:val="18"/>
              </w:rPr>
              <w:t>p6922</w:t>
            </w:r>
          </w:p>
        </w:tc>
        <w:tc>
          <w:tcPr>
            <w:tcW w:type="dxa" w:w="1440"/>
          </w:tcPr>
          <w:p>
            <w:r>
              <w:rPr>
                <w:sz w:val="18"/>
              </w:rPr>
              <w:t>frdB</w:t>
            </w:r>
          </w:p>
        </w:tc>
        <w:tc>
          <w:tcPr>
            <w:tcW w:type="dxa" w:w="1440"/>
          </w:tcPr>
          <w:p>
            <w:r>
              <w:rPr>
                <w:sz w:val="18"/>
              </w:rPr>
              <w:t>0.993</w:t>
            </w:r>
          </w:p>
        </w:tc>
        <w:tc>
          <w:tcPr>
            <w:tcW w:type="dxa" w:w="1440"/>
          </w:tcPr>
          <w:p>
            <w:r>
              <w:rPr>
                <w:sz w:val="18"/>
              </w:rPr>
              <w:t>99.2</w:t>
            </w:r>
          </w:p>
        </w:tc>
        <w:tc>
          <w:tcPr>
            <w:tcW w:type="dxa" w:w="1440"/>
          </w:tcPr>
          <w:p>
            <w:r>
              <w:rPr>
                <w:sz w:val="18"/>
              </w:rPr>
              <w:t>0.727</w:t>
            </w:r>
          </w:p>
        </w:tc>
        <w:tc>
          <w:tcPr>
            <w:tcW w:type="dxa" w:w="1440"/>
          </w:tcPr>
          <w:p>
            <w:r>
              <w:rPr>
                <w:sz w:val="18"/>
              </w:rPr>
              <w:t>0.828</w:t>
            </w:r>
          </w:p>
        </w:tc>
      </w:tr>
      <w:tr>
        <w:tc>
          <w:tcPr>
            <w:tcW w:type="dxa" w:w="1440"/>
          </w:tcPr>
          <w:p>
            <w:r>
              <w:rPr>
                <w:sz w:val="18"/>
              </w:rPr>
              <w:t>p2571</w:t>
            </w:r>
          </w:p>
        </w:tc>
        <w:tc>
          <w:tcPr>
            <w:tcW w:type="dxa" w:w="1440"/>
          </w:tcPr>
          <w:p>
            <w:r>
              <w:rPr>
                <w:sz w:val="18"/>
              </w:rPr>
              <w:t>lytA</w:t>
            </w:r>
          </w:p>
        </w:tc>
        <w:tc>
          <w:tcPr>
            <w:tcW w:type="dxa" w:w="1440"/>
          </w:tcPr>
          <w:p>
            <w:r>
              <w:rPr>
                <w:sz w:val="18"/>
              </w:rPr>
              <w:t>0.879</w:t>
            </w:r>
          </w:p>
        </w:tc>
        <w:tc>
          <w:tcPr>
            <w:tcW w:type="dxa" w:w="1440"/>
          </w:tcPr>
          <w:p>
            <w:r>
              <w:rPr>
                <w:sz w:val="18"/>
              </w:rPr>
              <w:t>97.2</w:t>
            </w:r>
          </w:p>
        </w:tc>
        <w:tc>
          <w:tcPr>
            <w:tcW w:type="dxa" w:w="1440"/>
          </w:tcPr>
          <w:p>
            <w:r>
              <w:rPr>
                <w:sz w:val="18"/>
              </w:rPr>
              <w:t>0.725</w:t>
            </w:r>
          </w:p>
        </w:tc>
        <w:tc>
          <w:tcPr>
            <w:tcW w:type="dxa" w:w="1440"/>
          </w:tcPr>
          <w:p>
            <w:r>
              <w:rPr>
                <w:sz w:val="18"/>
              </w:rPr>
              <w:t>0.866</w:t>
            </w:r>
          </w:p>
        </w:tc>
      </w:tr>
    </w:tbl>
    <w:p>
      <w:pPr>
        <w:spacing w:after="240"/>
      </w:pPr>
      <w:r>
        <w:rPr>
          <w:b/>
          <w:sz w:val="18"/>
        </w:rPr>
        <w:t xml:space="preserve">Table 4.3. </w:t>
      </w:r>
      <w:r>
        <w:rPr>
          <w:sz w:val="18"/>
        </w:rPr>
        <w:t>The four probes classified as good by the Boltz-2 confidence, with their</w:t>
        <w:br/>
        <w:t>sequence-level conservation and No-fold score.</w:t>
      </w:r>
    </w:p>
    <w:p>
      <w:r>
        <w:rPr>
          <w:b/>
        </w:rPr>
        <w:t xml:space="preserve">Duplexes. </w:t>
      </w:r>
      <w:r>
        <w:t>Predicted with their complementary targets, the same probes reach substantially higher confidences, from 0.845 to 0.949 (pLDDT 0.855–0.985), and all 30 fall in the highest class. The contrast with the single strands is itself informative: a fully complementary duplex has a defined, canonical structure, whereas an unpaired strand does not, and the model reflects that difference. The predicted duplexes are indeed canonical, with a rise of 3.20–3.43 Å per base pair (median 3.28 Å), in agreement with the 3.4 Å of B-form DNA (Watson &amp; Crick, 1953). This is a useful internal check: the structures used in the interface analysis of Section 4.8 reproduce the geometry of real DNA rather than an artefact of the prediction.</w:t>
      </w:r>
    </w:p>
    <w:p>
      <w:r>
        <w:rPr>
          <w:b/>
        </w:rPr>
        <w:t xml:space="preserve">Relation to the sequence-level ranking. </w:t>
      </w:r>
      <w:r>
        <w:t>The 3D confidence is statistically independent of the sequence-level quality that was used to select these probes: across the 30 probes, the Pearson correlation between the confidence and the quality score is r = -0.01, and the confidence is likewise unrelated to the conservation (r = 0.05) and to the No-fold score (r = -0.10). The structure prediction therefore does not restate the sequence ranking: it contributes information of its own. This is the reason it is carried into the final selection as a separate axis (Section 4.10.3) instead of being folded into the quality score, where it would have been diluted by two signals it does not correlate with.</w:t>
      </w:r>
    </w:p>
    <w:p>
      <w:r>
        <w:rPr>
          <w:b/>
        </w:rPr>
        <w:t xml:space="preserve">Reproducibility of the predictions. </w:t>
      </w:r>
      <w:r>
        <w:t>Because the change of reference buffer altered part of the selection (Section 4.2), 9 probe sequences were predicted in both the preliminary and the final run, which allows the run-to-run variability of Boltz-2 to be measured directly. For those sequences the confidence changed by -0.003 on average, and by at most 0.052; the predictions are therefore stable, and differences of this order between probes should not be interpreted. Over the whole panel, the final selection has a slightly higher mean confidence than the preliminary one (0.610 against 0.603) and the same number of good probes, which indicates that screening in the reference buffer did not degrade the structural quality of the candidates it selects.</w:t>
      </w:r>
    </w:p>
    <w:p>
      <w:pPr>
        <w:pStyle w:val="Heading2"/>
      </w:pPr>
      <w:r>
        <w:t>Genetic diversity of the targets</w:t>
      </w:r>
    </w:p>
    <w:p>
      <w:r>
        <w:t>The alignment-free diversity analysis (Table 4.4) explains much of the behaviour observed above. lytA is by far the most diverse gene (mean cosine distance 0.187 and 93% unique sequences), consistent with its known allelic diversity in S. pneumoniae (Obregón et al., 2002); this justifies the relaxed conservation threshold applied to it. At the opposite extreme, frdB is the most conserved and most redundant gene (mean cosine distance 0.025 and only 35% unique sequences, i.e. many exact duplicates in NCBI), which is why it yields probes of very high conservation. algD has 100% unique sequences but very few of them, which accounts for its instability at low sampling and motivates the automatic length-clustering and the per-gene allowance of more sequences. The cosine and Jaccard distances are complementary — the former weighs 4-mer frequencies, the latter only their presence or absence — and they concur in identifying frdB as the most conserved and redundant gene, giving an alignment-independent reading of diversity.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Gene</w:t>
            </w:r>
          </w:p>
        </w:tc>
        <w:tc>
          <w:tcPr>
            <w:tcW w:type="dxa" w:w="1440"/>
          </w:tcPr>
          <w:p>
            <w:r>
              <w:rPr>
                <w:b/>
                <w:sz w:val="18"/>
              </w:rPr>
              <w:t>n</w:t>
            </w:r>
          </w:p>
        </w:tc>
        <w:tc>
          <w:tcPr>
            <w:tcW w:type="dxa" w:w="1440"/>
          </w:tcPr>
          <w:p>
            <w:r>
              <w:rPr>
                <w:b/>
                <w:sz w:val="18"/>
              </w:rPr>
              <w:t>Cosine (mean)</w:t>
            </w:r>
          </w:p>
        </w:tc>
        <w:tc>
          <w:tcPr>
            <w:tcW w:type="dxa" w:w="1440"/>
          </w:tcPr>
          <w:p>
            <w:r>
              <w:rPr>
                <w:b/>
                <w:sz w:val="18"/>
              </w:rPr>
              <w:t>Cosine (max)</w:t>
            </w:r>
          </w:p>
        </w:tc>
        <w:tc>
          <w:tcPr>
            <w:tcW w:type="dxa" w:w="1440"/>
          </w:tcPr>
          <w:p>
            <w:r>
              <w:rPr>
                <w:b/>
                <w:sz w:val="18"/>
              </w:rPr>
              <w:t>Jaccard (mean)</w:t>
            </w:r>
          </w:p>
        </w:tc>
        <w:tc>
          <w:tcPr>
            <w:tcW w:type="dxa" w:w="1440"/>
          </w:tcPr>
          <w:p>
            <w:r>
              <w:rPr>
                <w:b/>
                <w:sz w:val="18"/>
              </w:rPr>
              <w:t>Unique (%)</w:t>
            </w:r>
          </w:p>
        </w:tc>
      </w:tr>
      <w:tr>
        <w:tc>
          <w:tcPr>
            <w:tcW w:type="dxa" w:w="1440"/>
          </w:tcPr>
          <w:p>
            <w:r>
              <w:rPr>
                <w:sz w:val="18"/>
              </w:rPr>
              <w:t>nuc</w:t>
            </w:r>
          </w:p>
        </w:tc>
        <w:tc>
          <w:tcPr>
            <w:tcW w:type="dxa" w:w="1440"/>
          </w:tcPr>
          <w:p>
            <w:r>
              <w:rPr>
                <w:sz w:val="18"/>
              </w:rPr>
              <w:t>77</w:t>
            </w:r>
          </w:p>
        </w:tc>
        <w:tc>
          <w:tcPr>
            <w:tcW w:type="dxa" w:w="1440"/>
          </w:tcPr>
          <w:p>
            <w:r>
              <w:rPr>
                <w:sz w:val="18"/>
              </w:rPr>
              <w:t>0.059</w:t>
            </w:r>
          </w:p>
        </w:tc>
        <w:tc>
          <w:tcPr>
            <w:tcW w:type="dxa" w:w="1440"/>
          </w:tcPr>
          <w:p>
            <w:r>
              <w:rPr>
                <w:sz w:val="18"/>
              </w:rPr>
              <w:t>0.425</w:t>
            </w:r>
          </w:p>
        </w:tc>
        <w:tc>
          <w:tcPr>
            <w:tcW w:type="dxa" w:w="1440"/>
          </w:tcPr>
          <w:p>
            <w:r>
              <w:rPr>
                <w:sz w:val="18"/>
              </w:rPr>
              <w:t>0.163</w:t>
            </w:r>
          </w:p>
        </w:tc>
        <w:tc>
          <w:tcPr>
            <w:tcW w:type="dxa" w:w="1440"/>
          </w:tcPr>
          <w:p>
            <w:r>
              <w:rPr>
                <w:sz w:val="18"/>
              </w:rPr>
              <w:t>61.0</w:t>
            </w:r>
          </w:p>
        </w:tc>
      </w:tr>
      <w:tr>
        <w:tc>
          <w:tcPr>
            <w:tcW w:type="dxa" w:w="1440"/>
          </w:tcPr>
          <w:p>
            <w:r>
              <w:rPr>
                <w:sz w:val="18"/>
              </w:rPr>
              <w:t>rmpM</w:t>
            </w:r>
          </w:p>
        </w:tc>
        <w:tc>
          <w:tcPr>
            <w:tcW w:type="dxa" w:w="1440"/>
          </w:tcPr>
          <w:p>
            <w:r>
              <w:rPr>
                <w:sz w:val="18"/>
              </w:rPr>
              <w:t>76</w:t>
            </w:r>
          </w:p>
        </w:tc>
        <w:tc>
          <w:tcPr>
            <w:tcW w:type="dxa" w:w="1440"/>
          </w:tcPr>
          <w:p>
            <w:r>
              <w:rPr>
                <w:sz w:val="18"/>
              </w:rPr>
              <w:t>0.079</w:t>
            </w:r>
          </w:p>
        </w:tc>
        <w:tc>
          <w:tcPr>
            <w:tcW w:type="dxa" w:w="1440"/>
          </w:tcPr>
          <w:p>
            <w:r>
              <w:rPr>
                <w:sz w:val="18"/>
              </w:rPr>
              <w:t>0.247</w:t>
            </w:r>
          </w:p>
        </w:tc>
        <w:tc>
          <w:tcPr>
            <w:tcW w:type="dxa" w:w="1440"/>
          </w:tcPr>
          <w:p>
            <w:r>
              <w:rPr>
                <w:sz w:val="18"/>
              </w:rPr>
              <w:t>0.069</w:t>
            </w:r>
          </w:p>
        </w:tc>
        <w:tc>
          <w:tcPr>
            <w:tcW w:type="dxa" w:w="1440"/>
          </w:tcPr>
          <w:p>
            <w:r>
              <w:rPr>
                <w:sz w:val="18"/>
              </w:rPr>
              <w:t>50.0</w:t>
            </w:r>
          </w:p>
        </w:tc>
      </w:tr>
      <w:tr>
        <w:tc>
          <w:tcPr>
            <w:tcW w:type="dxa" w:w="1440"/>
          </w:tcPr>
          <w:p>
            <w:r>
              <w:rPr>
                <w:sz w:val="18"/>
              </w:rPr>
              <w:t>lytA</w:t>
            </w:r>
          </w:p>
        </w:tc>
        <w:tc>
          <w:tcPr>
            <w:tcW w:type="dxa" w:w="1440"/>
          </w:tcPr>
          <w:p>
            <w:r>
              <w:rPr>
                <w:sz w:val="18"/>
              </w:rPr>
              <w:t>87</w:t>
            </w:r>
          </w:p>
        </w:tc>
        <w:tc>
          <w:tcPr>
            <w:tcW w:type="dxa" w:w="1440"/>
          </w:tcPr>
          <w:p>
            <w:r>
              <w:rPr>
                <w:sz w:val="18"/>
              </w:rPr>
              <w:t>0.187</w:t>
            </w:r>
          </w:p>
        </w:tc>
        <w:tc>
          <w:tcPr>
            <w:tcW w:type="dxa" w:w="1440"/>
          </w:tcPr>
          <w:p>
            <w:r>
              <w:rPr>
                <w:sz w:val="18"/>
              </w:rPr>
              <w:t>0.440</w:t>
            </w:r>
          </w:p>
        </w:tc>
        <w:tc>
          <w:tcPr>
            <w:tcW w:type="dxa" w:w="1440"/>
          </w:tcPr>
          <w:p>
            <w:r>
              <w:rPr>
                <w:sz w:val="18"/>
              </w:rPr>
              <w:t>0.125</w:t>
            </w:r>
          </w:p>
        </w:tc>
        <w:tc>
          <w:tcPr>
            <w:tcW w:type="dxa" w:w="1440"/>
          </w:tcPr>
          <w:p>
            <w:r>
              <w:rPr>
                <w:sz w:val="18"/>
              </w:rPr>
              <w:t>93.1</w:t>
            </w:r>
          </w:p>
        </w:tc>
      </w:tr>
      <w:tr>
        <w:tc>
          <w:tcPr>
            <w:tcW w:type="dxa" w:w="1440"/>
          </w:tcPr>
          <w:p>
            <w:r>
              <w:rPr>
                <w:sz w:val="18"/>
              </w:rPr>
              <w:t>oprL</w:t>
            </w:r>
          </w:p>
        </w:tc>
        <w:tc>
          <w:tcPr>
            <w:tcW w:type="dxa" w:w="1440"/>
          </w:tcPr>
          <w:p>
            <w:r>
              <w:rPr>
                <w:sz w:val="18"/>
              </w:rPr>
              <w:t>24</w:t>
            </w:r>
          </w:p>
        </w:tc>
        <w:tc>
          <w:tcPr>
            <w:tcW w:type="dxa" w:w="1440"/>
          </w:tcPr>
          <w:p>
            <w:r>
              <w:rPr>
                <w:sz w:val="18"/>
              </w:rPr>
              <w:t>0.050</w:t>
            </w:r>
          </w:p>
        </w:tc>
        <w:tc>
          <w:tcPr>
            <w:tcW w:type="dxa" w:w="1440"/>
          </w:tcPr>
          <w:p>
            <w:r>
              <w:rPr>
                <w:sz w:val="18"/>
              </w:rPr>
              <w:t>0.358</w:t>
            </w:r>
          </w:p>
        </w:tc>
        <w:tc>
          <w:tcPr>
            <w:tcW w:type="dxa" w:w="1440"/>
          </w:tcPr>
          <w:p>
            <w:r>
              <w:rPr>
                <w:sz w:val="18"/>
              </w:rPr>
              <w:t>0.096</w:t>
            </w:r>
          </w:p>
        </w:tc>
        <w:tc>
          <w:tcPr>
            <w:tcW w:type="dxa" w:w="1440"/>
          </w:tcPr>
          <w:p>
            <w:r>
              <w:rPr>
                <w:sz w:val="18"/>
              </w:rPr>
              <w:t>91.7</w:t>
            </w:r>
          </w:p>
        </w:tc>
      </w:tr>
      <w:tr>
        <w:tc>
          <w:tcPr>
            <w:tcW w:type="dxa" w:w="1440"/>
          </w:tcPr>
          <w:p>
            <w:r>
              <w:rPr>
                <w:sz w:val="18"/>
              </w:rPr>
              <w:t>algD</w:t>
            </w:r>
          </w:p>
        </w:tc>
        <w:tc>
          <w:tcPr>
            <w:tcW w:type="dxa" w:w="1440"/>
          </w:tcPr>
          <w:p>
            <w:r>
              <w:rPr>
                <w:sz w:val="18"/>
              </w:rPr>
              <w:t>12</w:t>
            </w:r>
          </w:p>
        </w:tc>
        <w:tc>
          <w:tcPr>
            <w:tcW w:type="dxa" w:w="1440"/>
          </w:tcPr>
          <w:p>
            <w:r>
              <w:rPr>
                <w:sz w:val="18"/>
              </w:rPr>
              <w:t>0.097</w:t>
            </w:r>
          </w:p>
        </w:tc>
        <w:tc>
          <w:tcPr>
            <w:tcW w:type="dxa" w:w="1440"/>
          </w:tcPr>
          <w:p>
            <w:r>
              <w:rPr>
                <w:sz w:val="18"/>
              </w:rPr>
              <w:t>0.332</w:t>
            </w:r>
          </w:p>
        </w:tc>
        <w:tc>
          <w:tcPr>
            <w:tcW w:type="dxa" w:w="1440"/>
          </w:tcPr>
          <w:p>
            <w:r>
              <w:rPr>
                <w:sz w:val="18"/>
              </w:rPr>
              <w:t>0.117</w:t>
            </w:r>
          </w:p>
        </w:tc>
        <w:tc>
          <w:tcPr>
            <w:tcW w:type="dxa" w:w="1440"/>
          </w:tcPr>
          <w:p>
            <w:r>
              <w:rPr>
                <w:sz w:val="18"/>
              </w:rPr>
              <w:t>100.0</w:t>
            </w:r>
          </w:p>
        </w:tc>
      </w:tr>
      <w:tr>
        <w:tc>
          <w:tcPr>
            <w:tcW w:type="dxa" w:w="1440"/>
          </w:tcPr>
          <w:p>
            <w:r>
              <w:rPr>
                <w:sz w:val="18"/>
              </w:rPr>
              <w:t>frdB</w:t>
            </w:r>
          </w:p>
        </w:tc>
        <w:tc>
          <w:tcPr>
            <w:tcW w:type="dxa" w:w="1440"/>
          </w:tcPr>
          <w:p>
            <w:r>
              <w:rPr>
                <w:sz w:val="18"/>
              </w:rPr>
              <w:t>82</w:t>
            </w:r>
          </w:p>
        </w:tc>
        <w:tc>
          <w:tcPr>
            <w:tcW w:type="dxa" w:w="1440"/>
          </w:tcPr>
          <w:p>
            <w:r>
              <w:rPr>
                <w:sz w:val="18"/>
              </w:rPr>
              <w:t>0.025</w:t>
            </w:r>
          </w:p>
        </w:tc>
        <w:tc>
          <w:tcPr>
            <w:tcW w:type="dxa" w:w="1440"/>
          </w:tcPr>
          <w:p>
            <w:r>
              <w:rPr>
                <w:sz w:val="18"/>
              </w:rPr>
              <w:t>0.052</w:t>
            </w:r>
          </w:p>
        </w:tc>
        <w:tc>
          <w:tcPr>
            <w:tcW w:type="dxa" w:w="1440"/>
          </w:tcPr>
          <w:p>
            <w:r>
              <w:rPr>
                <w:sz w:val="18"/>
              </w:rPr>
              <w:t>0.061</w:t>
            </w:r>
          </w:p>
        </w:tc>
        <w:tc>
          <w:tcPr>
            <w:tcW w:type="dxa" w:w="1440"/>
          </w:tcPr>
          <w:p>
            <w:r>
              <w:rPr>
                <w:sz w:val="18"/>
              </w:rPr>
              <w:t>35.4</w:t>
            </w:r>
          </w:p>
        </w:tc>
      </w:tr>
    </w:tbl>
    <w:p>
      <w:pPr>
        <w:spacing w:after="240"/>
      </w:pPr>
      <w:r>
        <w:rPr>
          <w:b/>
          <w:sz w:val="18"/>
        </w:rPr>
        <w:t xml:space="preserve">Table 4.4. </w:t>
      </w:r>
      <w:r>
        <w:rPr>
          <w:sz w:val="18"/>
        </w:rPr>
        <w:t>Alignment-free 4-mer diversity per gene. Bold marks the most diverse (lytA)</w:t>
        <w:br/>
        <w:t>and the most conserved/redundant (frdB) genes.</w:t>
      </w:r>
    </w:p>
    <w:p>
      <w:pPr>
        <w:jc w:val="center"/>
      </w:pPr>
      <w:r>
        <w:drawing>
          <wp:inline xmlns:a="http://schemas.openxmlformats.org/drawingml/2006/main" xmlns:pic="http://schemas.openxmlformats.org/drawingml/2006/picture">
            <wp:extent cx="5486400" cy="1151433"/>
            <wp:docPr id="2" name="Picture 2"/>
            <wp:cNvGraphicFramePr>
              <a:graphicFrameLocks noChangeAspect="1"/>
            </wp:cNvGraphicFramePr>
            <a:graphic>
              <a:graphicData uri="http://schemas.openxmlformats.org/drawingml/2006/picture">
                <pic:pic>
                  <pic:nvPicPr>
                    <pic:cNvPr id="0" name="diversity_heatmaps.png"/>
                    <pic:cNvPicPr/>
                  </pic:nvPicPr>
                  <pic:blipFill>
                    <a:blip r:embed="rId10"/>
                    <a:stretch>
                      <a:fillRect/>
                    </a:stretch>
                  </pic:blipFill>
                  <pic:spPr>
                    <a:xfrm>
                      <a:off x="0" y="0"/>
                      <a:ext cx="5486400" cy="1151433"/>
                    </a:xfrm>
                    <a:prstGeom prst="rect"/>
                  </pic:spPr>
                </pic:pic>
              </a:graphicData>
            </a:graphic>
          </wp:inline>
        </w:drawing>
      </w:r>
    </w:p>
    <w:p>
      <w:pPr>
        <w:spacing w:after="240"/>
      </w:pPr>
      <w:r>
        <w:rPr>
          <w:b/>
          <w:sz w:val="18"/>
        </w:rPr>
        <w:t xml:space="preserve">Figure 4.1. </w:t>
      </w:r>
      <w:r>
        <w:rPr>
          <w:sz w:val="18"/>
        </w:rPr>
        <w:t>Pairwise 4-mer distance heatmaps per gene (alignment-free). Each cell is the 4-mer</w:t>
        <w:br/>
        <w:t>distance between two retrieved sequences of the gene.</w:t>
      </w:r>
    </w:p>
    <w:p>
      <w:pPr>
        <w:pStyle w:val="Heading2"/>
      </w:pPr>
      <w:r>
        <w:t>Choice of sampling depth</w:t>
      </w:r>
    </w:p>
    <w:p>
      <w:r>
        <w:t>The rarefaction analysis showed that both the 4-mer diversity and the 4-mer richness saturate at around N approx 50 sequences for the most demanding gene (nuc), and much earlier for the others. Requesting up to 100 sequences per gene therefore captures essentially all of the available diversity with a comfortable margin, while additional sequences add little new information. The true limiting factor is not this cap but the small number of records available in NCBI for the data-limited genes.</w:t>
      </w:r>
    </w:p>
    <w:p>
      <w:pPr>
        <w:jc w:val="center"/>
      </w:pPr>
      <w:r>
        <w:drawing>
          <wp:inline xmlns:a="http://schemas.openxmlformats.org/drawingml/2006/main" xmlns:pic="http://schemas.openxmlformats.org/drawingml/2006/picture">
            <wp:extent cx="5486400" cy="1941342"/>
            <wp:docPr id="3" name="Picture 3"/>
            <wp:cNvGraphicFramePr>
              <a:graphicFrameLocks noChangeAspect="1"/>
            </wp:cNvGraphicFramePr>
            <a:graphic>
              <a:graphicData uri="http://schemas.openxmlformats.org/drawingml/2006/picture">
                <pic:pic>
                  <pic:nvPicPr>
                    <pic:cNvPr id="0" name="rarefaction.png"/>
                    <pic:cNvPicPr/>
                  </pic:nvPicPr>
                  <pic:blipFill>
                    <a:blip r:embed="rId11"/>
                    <a:stretch>
                      <a:fillRect/>
                    </a:stretch>
                  </pic:blipFill>
                  <pic:spPr>
                    <a:xfrm>
                      <a:off x="0" y="0"/>
                      <a:ext cx="5486400" cy="1941342"/>
                    </a:xfrm>
                    <a:prstGeom prst="rect"/>
                  </pic:spPr>
                </pic:pic>
              </a:graphicData>
            </a:graphic>
          </wp:inline>
        </w:drawing>
      </w:r>
    </w:p>
    <w:p>
      <w:pPr>
        <w:spacing w:after="240"/>
      </w:pPr>
      <w:r>
        <w:rPr>
          <w:b/>
          <w:sz w:val="18"/>
        </w:rPr>
        <w:t xml:space="preserve">Figure 4.2. </w:t>
      </w:r>
      <w:r>
        <w:rPr>
          <w:sz w:val="18"/>
        </w:rPr>
        <w:t>Rarefaction of the mean 4-mer diversity (left) and of the richness, i.e. the number</w:t>
        <w:br/>
        <w:t>of distinct 4-mers (right), per gene, as a function of the number of subsampled sequences.</w:t>
      </w:r>
    </w:p>
    <w:p>
      <w:pPr>
        <w:pStyle w:val="Heading2"/>
      </w:pPr>
      <w:r>
        <w:t>Effect of the organism-aware parameters</w:t>
      </w:r>
    </w:p>
    <w:p>
      <w:r>
        <w:t>The value of resolving thresholds per organism type and species is clearest when scoring the reference panel, which spans bacteria, viruses, a fungus, a protozoan and a human control. When the 74 reference probes were scored with a single global (bacterial) criterion, 33 passed the basic screen; when instead each was scored by the criteria of its own species and type, 42 passed. The additional probes are precisely those whose genome composition differs from the balanced bacterial case — for example the AT-rich Plasmodium probe, which the global GC window would reject but which is appropriate under the protozoan profile. This confirms that organism-aware thresholds avoid unfair rejections without loosening the criteria for the balanced targets. The gene-level profiles have the same effect on the designed probes: 10 of the 30 probes finally selected pass the basic screen only because of the profile of their gene — four of the five nuc probes and three each of the algD and frdB probes — and would have been rejected by the global GC or T_m window although they suit the composition of their target.</w:t>
      </w:r>
    </w:p>
    <w:p>
      <w:pPr>
        <w:pStyle w:val="Heading2"/>
      </w:pPr>
      <w:r>
        <w:t>Comparison with the reference panel</w:t>
      </w:r>
    </w:p>
    <w:p>
      <w:r>
        <w:t>Scored with identical metrics, the designed probes and the reference panel can be compared directly. Among the probes that pass the basic screen, the designed probes have a slightly higher mean melting temperature (62.6 versus 61.4°C) and a very similar mean GC content (0.49 versus 0.51), while the reference probes have a slightly higher mean No-fold score (84.7 versus 81.4). Because both sets carry a source label and share every column, they can also be submitted together to Boltz-2, enabling a like-for-like comparison in three dimensions as well as in sequence space.</w:t>
      </w:r>
    </w:p>
    <w:p>
      <w:pPr>
        <w:pStyle w:val="Heading2"/>
      </w:pPr>
      <w:r>
        <w:t>Probe–graphene models</w:t>
      </w:r>
    </w:p>
    <w:p>
      <w:r>
        <w:t>All 30 probes predicted in 3D were combined with a graphene sheet to obtain atomistic models of the sensing interface (Section 3.11). The predicted probe structures contain between 357 and 529 atoms (median 403), consistent with single strands of 18–26 nucleotides.</w:t>
      </w:r>
    </w:p>
    <w:p>
      <w:r>
        <w:rPr>
          <w:b/>
        </w:rPr>
        <w:t xml:space="preserve">Sizing the sheet. </w:t>
      </w:r>
      <w:r>
        <w:t>The sheet has to hold every probe without overhang, and its lateral dimensions were therefore set from the probes themselves. The largest in-plane extent of each predicted structure has a median of 44.6 Å and reaches 67.1 Å (Table 4.5), the probes being predicted in a range of extended and compact conformations. A 4 × 4 nm sheet, a size that would suffice for a nucleotide-scale model, would have been too small for 19 of the 30 probes, whose atoms would protrude beyond the edges — an artefact that the fit check built into the assembly script rejects rather than writing a model that is geometrically wrong. The 121.6 × 119.8 Å sheet (5700 carbon atoms) accommodates all 30, the most extended still leaving a margin of 27.2 Å on each side.</w:t>
      </w:r>
    </w:p>
    <w:p>
      <w:r>
        <w:rPr>
          <w:b/>
        </w:rPr>
        <w:t xml:space="preserve">Assembled models. </w:t>
      </w:r>
      <w:r>
        <w:t>The complete set of 30 probe–graphene models was built in a single automated run, each model comprising 6057–6229 atoms; Table 4.5 summarises their geometry by gene. No model contains a steric clash: across all 30 systems the closest probe–sheet atom pair lies between 3.21 and 3.42 Å, that is, within the physisorption regime reported for nucleobases on graphene (Tayo et al., 2023) and never below it. The small spread above the nominal 3.2 Å separation arises because the probe atom closest to the surface is generally offset laterally from the graphene atoms beneath it, so the true interatomic distance slightly exceeds the vertical one. The probes stand well above the surface, their vertical extent ranging from 23.3 to 59.2 Å; probes of similar length therefore present very different amounts of their structure close to the sensing surface, which is the property quantified in Section 4.10.</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Gene</w:t>
            </w:r>
          </w:p>
        </w:tc>
        <w:tc>
          <w:tcPr>
            <w:tcW w:type="dxa" w:w="1440"/>
          </w:tcPr>
          <w:p>
            <w:r>
              <w:rPr>
                <w:b/>
                <w:sz w:val="18"/>
              </w:rPr>
              <w:t>Models</w:t>
            </w:r>
          </w:p>
        </w:tc>
        <w:tc>
          <w:tcPr>
            <w:tcW w:type="dxa" w:w="1440"/>
          </w:tcPr>
          <w:p>
            <w:r>
              <w:rPr>
                <w:b/>
                <w:sz w:val="18"/>
              </w:rPr>
              <w:t>Median extent (Å)</w:t>
            </w:r>
          </w:p>
        </w:tc>
        <w:tc>
          <w:tcPr>
            <w:tcW w:type="dxa" w:w="1440"/>
          </w:tcPr>
          <w:p>
            <w:r>
              <w:rPr>
                <w:b/>
                <w:sz w:val="18"/>
              </w:rPr>
              <w:t>Max. extent (Å)</w:t>
            </w:r>
          </w:p>
        </w:tc>
        <w:tc>
          <w:tcPr>
            <w:tcW w:type="dxa" w:w="1440"/>
          </w:tcPr>
          <w:p>
            <w:r>
              <w:rPr>
                <w:b/>
                <w:sz w:val="18"/>
              </w:rPr>
              <w:t>Height (Å)</w:t>
            </w:r>
          </w:p>
        </w:tc>
        <w:tc>
          <w:tcPr>
            <w:tcW w:type="dxa" w:w="1440"/>
          </w:tcPr>
          <w:p>
            <w:r>
              <w:rPr>
                <w:b/>
                <w:sz w:val="18"/>
              </w:rPr>
              <w:t>Closest contact (Å)</w:t>
            </w:r>
          </w:p>
        </w:tc>
      </w:tr>
      <w:tr>
        <w:tc>
          <w:tcPr>
            <w:tcW w:type="dxa" w:w="1440"/>
          </w:tcPr>
          <w:p>
            <w:r>
              <w:rPr>
                <w:sz w:val="18"/>
              </w:rPr>
              <w:t>nuc</w:t>
            </w:r>
          </w:p>
        </w:tc>
        <w:tc>
          <w:tcPr>
            <w:tcW w:type="dxa" w:w="1440"/>
          </w:tcPr>
          <w:p>
            <w:r>
              <w:rPr>
                <w:sz w:val="18"/>
              </w:rPr>
              <w:t>5</w:t>
            </w:r>
          </w:p>
        </w:tc>
        <w:tc>
          <w:tcPr>
            <w:tcW w:type="dxa" w:w="1440"/>
          </w:tcPr>
          <w:p>
            <w:r>
              <w:rPr>
                <w:sz w:val="18"/>
              </w:rPr>
              <w:t>46.1</w:t>
            </w:r>
          </w:p>
        </w:tc>
        <w:tc>
          <w:tcPr>
            <w:tcW w:type="dxa" w:w="1440"/>
          </w:tcPr>
          <w:p>
            <w:r>
              <w:rPr>
                <w:sz w:val="18"/>
              </w:rPr>
              <w:t>51.9</w:t>
            </w:r>
          </w:p>
        </w:tc>
        <w:tc>
          <w:tcPr>
            <w:tcW w:type="dxa" w:w="1440"/>
          </w:tcPr>
          <w:p>
            <w:r>
              <w:rPr>
                <w:sz w:val="18"/>
              </w:rPr>
              <w:t>25.3–59.2</w:t>
            </w:r>
          </w:p>
        </w:tc>
        <w:tc>
          <w:tcPr>
            <w:tcW w:type="dxa" w:w="1440"/>
          </w:tcPr>
          <w:p>
            <w:r>
              <w:rPr>
                <w:sz w:val="18"/>
              </w:rPr>
              <w:t>3.24–3.36</w:t>
            </w:r>
          </w:p>
        </w:tc>
      </w:tr>
      <w:tr>
        <w:tc>
          <w:tcPr>
            <w:tcW w:type="dxa" w:w="1440"/>
          </w:tcPr>
          <w:p>
            <w:r>
              <w:rPr>
                <w:sz w:val="18"/>
              </w:rPr>
              <w:t>rmpM</w:t>
            </w:r>
          </w:p>
        </w:tc>
        <w:tc>
          <w:tcPr>
            <w:tcW w:type="dxa" w:w="1440"/>
          </w:tcPr>
          <w:p>
            <w:r>
              <w:rPr>
                <w:sz w:val="18"/>
              </w:rPr>
              <w:t>5</w:t>
            </w:r>
          </w:p>
        </w:tc>
        <w:tc>
          <w:tcPr>
            <w:tcW w:type="dxa" w:w="1440"/>
          </w:tcPr>
          <w:p>
            <w:r>
              <w:rPr>
                <w:sz w:val="18"/>
              </w:rPr>
              <w:t>45.3</w:t>
            </w:r>
          </w:p>
        </w:tc>
        <w:tc>
          <w:tcPr>
            <w:tcW w:type="dxa" w:w="1440"/>
          </w:tcPr>
          <w:p>
            <w:r>
              <w:rPr>
                <w:sz w:val="18"/>
              </w:rPr>
              <w:t>46.1</w:t>
            </w:r>
          </w:p>
        </w:tc>
        <w:tc>
          <w:tcPr>
            <w:tcW w:type="dxa" w:w="1440"/>
          </w:tcPr>
          <w:p>
            <w:r>
              <w:rPr>
                <w:sz w:val="18"/>
              </w:rPr>
              <w:t>27.5–45.9</w:t>
            </w:r>
          </w:p>
        </w:tc>
        <w:tc>
          <w:tcPr>
            <w:tcW w:type="dxa" w:w="1440"/>
          </w:tcPr>
          <w:p>
            <w:r>
              <w:rPr>
                <w:sz w:val="18"/>
              </w:rPr>
              <w:t>3.22–3.26</w:t>
            </w:r>
          </w:p>
        </w:tc>
      </w:tr>
      <w:tr>
        <w:tc>
          <w:tcPr>
            <w:tcW w:type="dxa" w:w="1440"/>
          </w:tcPr>
          <w:p>
            <w:r>
              <w:rPr>
                <w:sz w:val="18"/>
              </w:rPr>
              <w:t>lytA</w:t>
            </w:r>
          </w:p>
        </w:tc>
        <w:tc>
          <w:tcPr>
            <w:tcW w:type="dxa" w:w="1440"/>
          </w:tcPr>
          <w:p>
            <w:r>
              <w:rPr>
                <w:sz w:val="18"/>
              </w:rPr>
              <w:t>5</w:t>
            </w:r>
          </w:p>
        </w:tc>
        <w:tc>
          <w:tcPr>
            <w:tcW w:type="dxa" w:w="1440"/>
          </w:tcPr>
          <w:p>
            <w:r>
              <w:rPr>
                <w:sz w:val="18"/>
              </w:rPr>
              <w:t>51.4</w:t>
            </w:r>
          </w:p>
        </w:tc>
        <w:tc>
          <w:tcPr>
            <w:tcW w:type="dxa" w:w="1440"/>
          </w:tcPr>
          <w:p>
            <w:r>
              <w:rPr>
                <w:sz w:val="18"/>
              </w:rPr>
              <w:t>67.1</w:t>
            </w:r>
          </w:p>
        </w:tc>
        <w:tc>
          <w:tcPr>
            <w:tcW w:type="dxa" w:w="1440"/>
          </w:tcPr>
          <w:p>
            <w:r>
              <w:rPr>
                <w:sz w:val="18"/>
              </w:rPr>
              <w:t>27.2–51.3</w:t>
            </w:r>
          </w:p>
        </w:tc>
        <w:tc>
          <w:tcPr>
            <w:tcW w:type="dxa" w:w="1440"/>
          </w:tcPr>
          <w:p>
            <w:r>
              <w:rPr>
                <w:sz w:val="18"/>
              </w:rPr>
              <w:t>3.21–3.42</w:t>
            </w:r>
          </w:p>
        </w:tc>
      </w:tr>
      <w:tr>
        <w:tc>
          <w:tcPr>
            <w:tcW w:type="dxa" w:w="1440"/>
          </w:tcPr>
          <w:p>
            <w:r>
              <w:rPr>
                <w:sz w:val="18"/>
              </w:rPr>
              <w:t>oprL</w:t>
            </w:r>
          </w:p>
        </w:tc>
        <w:tc>
          <w:tcPr>
            <w:tcW w:type="dxa" w:w="1440"/>
          </w:tcPr>
          <w:p>
            <w:r>
              <w:rPr>
                <w:sz w:val="18"/>
              </w:rPr>
              <w:t>5</w:t>
            </w:r>
          </w:p>
        </w:tc>
        <w:tc>
          <w:tcPr>
            <w:tcW w:type="dxa" w:w="1440"/>
          </w:tcPr>
          <w:p>
            <w:r>
              <w:rPr>
                <w:sz w:val="18"/>
              </w:rPr>
              <w:t>44.0</w:t>
            </w:r>
          </w:p>
        </w:tc>
        <w:tc>
          <w:tcPr>
            <w:tcW w:type="dxa" w:w="1440"/>
          </w:tcPr>
          <w:p>
            <w:r>
              <w:rPr>
                <w:sz w:val="18"/>
              </w:rPr>
              <w:t>58.6</w:t>
            </w:r>
          </w:p>
        </w:tc>
        <w:tc>
          <w:tcPr>
            <w:tcW w:type="dxa" w:w="1440"/>
          </w:tcPr>
          <w:p>
            <w:r>
              <w:rPr>
                <w:sz w:val="18"/>
              </w:rPr>
              <w:t>23.8–54.7</w:t>
            </w:r>
          </w:p>
        </w:tc>
        <w:tc>
          <w:tcPr>
            <w:tcW w:type="dxa" w:w="1440"/>
          </w:tcPr>
          <w:p>
            <w:r>
              <w:rPr>
                <w:sz w:val="18"/>
              </w:rPr>
              <w:t>3.21–3.32</w:t>
            </w:r>
          </w:p>
        </w:tc>
      </w:tr>
      <w:tr>
        <w:tc>
          <w:tcPr>
            <w:tcW w:type="dxa" w:w="1440"/>
          </w:tcPr>
          <w:p>
            <w:r>
              <w:rPr>
                <w:sz w:val="18"/>
              </w:rPr>
              <w:t>algD</w:t>
            </w:r>
          </w:p>
        </w:tc>
        <w:tc>
          <w:tcPr>
            <w:tcW w:type="dxa" w:w="1440"/>
          </w:tcPr>
          <w:p>
            <w:r>
              <w:rPr>
                <w:sz w:val="18"/>
              </w:rPr>
              <w:t>5</w:t>
            </w:r>
          </w:p>
        </w:tc>
        <w:tc>
          <w:tcPr>
            <w:tcW w:type="dxa" w:w="1440"/>
          </w:tcPr>
          <w:p>
            <w:r>
              <w:rPr>
                <w:sz w:val="18"/>
              </w:rPr>
              <w:t>42.3</w:t>
            </w:r>
          </w:p>
        </w:tc>
        <w:tc>
          <w:tcPr>
            <w:tcW w:type="dxa" w:w="1440"/>
          </w:tcPr>
          <w:p>
            <w:r>
              <w:rPr>
                <w:sz w:val="18"/>
              </w:rPr>
              <w:t>61.0</w:t>
            </w:r>
          </w:p>
        </w:tc>
        <w:tc>
          <w:tcPr>
            <w:tcW w:type="dxa" w:w="1440"/>
          </w:tcPr>
          <w:p>
            <w:r>
              <w:rPr>
                <w:sz w:val="18"/>
              </w:rPr>
              <w:t>23.3–49.0</w:t>
            </w:r>
          </w:p>
        </w:tc>
        <w:tc>
          <w:tcPr>
            <w:tcW w:type="dxa" w:w="1440"/>
          </w:tcPr>
          <w:p>
            <w:r>
              <w:rPr>
                <w:sz w:val="18"/>
              </w:rPr>
              <w:t>3.21–3.36</w:t>
            </w:r>
          </w:p>
        </w:tc>
      </w:tr>
      <w:tr>
        <w:tc>
          <w:tcPr>
            <w:tcW w:type="dxa" w:w="1440"/>
          </w:tcPr>
          <w:p>
            <w:r>
              <w:rPr>
                <w:sz w:val="18"/>
              </w:rPr>
              <w:t>frdB</w:t>
            </w:r>
          </w:p>
        </w:tc>
        <w:tc>
          <w:tcPr>
            <w:tcW w:type="dxa" w:w="1440"/>
          </w:tcPr>
          <w:p>
            <w:r>
              <w:rPr>
                <w:sz w:val="18"/>
              </w:rPr>
              <w:t>5</w:t>
            </w:r>
          </w:p>
        </w:tc>
        <w:tc>
          <w:tcPr>
            <w:tcW w:type="dxa" w:w="1440"/>
          </w:tcPr>
          <w:p>
            <w:r>
              <w:rPr>
                <w:sz w:val="18"/>
              </w:rPr>
              <w:t>33.1</w:t>
            </w:r>
          </w:p>
        </w:tc>
        <w:tc>
          <w:tcPr>
            <w:tcW w:type="dxa" w:w="1440"/>
          </w:tcPr>
          <w:p>
            <w:r>
              <w:rPr>
                <w:sz w:val="18"/>
              </w:rPr>
              <w:t>46.8</w:t>
            </w:r>
          </w:p>
        </w:tc>
        <w:tc>
          <w:tcPr>
            <w:tcW w:type="dxa" w:w="1440"/>
          </w:tcPr>
          <w:p>
            <w:r>
              <w:rPr>
                <w:sz w:val="18"/>
              </w:rPr>
              <w:t>34.5–37.6</w:t>
            </w:r>
          </w:p>
        </w:tc>
        <w:tc>
          <w:tcPr>
            <w:tcW w:type="dxa" w:w="1440"/>
          </w:tcPr>
          <w:p>
            <w:r>
              <w:rPr>
                <w:sz w:val="18"/>
              </w:rPr>
              <w:t>3.23–3.28</w:t>
            </w:r>
          </w:p>
        </w:tc>
      </w:tr>
      <w:tr>
        <w:tc>
          <w:tcPr>
            <w:tcW w:type="dxa" w:w="1440"/>
          </w:tcPr>
          <w:p>
            <w:r>
              <w:rPr>
                <w:sz w:val="18"/>
              </w:rPr>
              <w:t>All</w:t>
            </w:r>
          </w:p>
        </w:tc>
        <w:tc>
          <w:tcPr>
            <w:tcW w:type="dxa" w:w="1440"/>
          </w:tcPr>
          <w:p>
            <w:r>
              <w:rPr>
                <w:sz w:val="18"/>
              </w:rPr>
              <w:t>30</w:t>
            </w:r>
          </w:p>
        </w:tc>
        <w:tc>
          <w:tcPr>
            <w:tcW w:type="dxa" w:w="1440"/>
          </w:tcPr>
          <w:p>
            <w:r>
              <w:rPr>
                <w:sz w:val="18"/>
              </w:rPr>
              <w:t>44.6</w:t>
            </w:r>
          </w:p>
        </w:tc>
        <w:tc>
          <w:tcPr>
            <w:tcW w:type="dxa" w:w="1440"/>
          </w:tcPr>
          <w:p>
            <w:r>
              <w:rPr>
                <w:sz w:val="18"/>
              </w:rPr>
              <w:t>67.1</w:t>
            </w:r>
          </w:p>
        </w:tc>
        <w:tc>
          <w:tcPr>
            <w:tcW w:type="dxa" w:w="1440"/>
          </w:tcPr>
          <w:p>
            <w:r>
              <w:rPr>
                <w:sz w:val="18"/>
              </w:rPr>
              <w:t>23.3–59.2</w:t>
            </w:r>
          </w:p>
        </w:tc>
        <w:tc>
          <w:tcPr>
            <w:tcW w:type="dxa" w:w="1440"/>
          </w:tcPr>
          <w:p>
            <w:r>
              <w:rPr>
                <w:sz w:val="18"/>
              </w:rPr>
              <w:t>3.21–3.42</w:t>
            </w:r>
          </w:p>
        </w:tc>
      </w:tr>
    </w:tbl>
    <w:p>
      <w:pPr>
        <w:spacing w:after="240"/>
      </w:pPr>
      <w:r>
        <w:rPr>
          <w:b/>
          <w:sz w:val="18"/>
        </w:rPr>
        <w:t xml:space="preserve">Table 4.5. </w:t>
      </w:r>
      <w:r>
        <w:rPr>
          <w:sz w:val="18"/>
        </w:rPr>
        <w:t>Geometry of the 30 assembled probe–graphene models. “Extent” is the largest in-plane</w:t>
        <w:br/>
        <w:t>dimension of the probe, which determined the sheet size; “height” is its vertical extent; and</w:t>
        <w:br/>
        <w:t>“closest contact” the shortest probe–sheet interatomic distance.</w:t>
      </w:r>
    </w:p>
    <w:p>
      <w:r>
        <w:t>Figure 4.3 shows the assembled models of the good probes of algD and frdB, drawn directly from the atomic coordinates of the output files. The side view makes the assembly geometry explicit — the planar graphene lattice, the probe resting above it and the 3.2 Å separation — while the top view shows the probe footprint contained well within the sheet. The two panels also illustrate the conformational contrast noted above: p5178 is compact, with a vertical extent of 23.3 Å, whereas p6922 reaches 37.6 Å.</w:t>
      </w:r>
    </w:p>
    <w:p>
      <w:pPr>
        <w:jc w:val="center"/>
      </w:pPr>
      <w:r>
        <w:drawing>
          <wp:inline xmlns:a="http://schemas.openxmlformats.org/drawingml/2006/main" xmlns:pic="http://schemas.openxmlformats.org/drawingml/2006/picture">
            <wp:extent cx="5486400" cy="2291819"/>
            <wp:docPr id="4" name="Picture 4"/>
            <wp:cNvGraphicFramePr>
              <a:graphicFrameLocks noChangeAspect="1"/>
            </wp:cNvGraphicFramePr>
            <a:graphic>
              <a:graphicData uri="http://schemas.openxmlformats.org/drawingml/2006/picture">
                <pic:pic>
                  <pic:nvPicPr>
                    <pic:cNvPr id="0" name="complex_p5178_algD.png"/>
                    <pic:cNvPicPr/>
                  </pic:nvPicPr>
                  <pic:blipFill>
                    <a:blip r:embed="rId12"/>
                    <a:stretch>
                      <a:fillRect/>
                    </a:stretch>
                  </pic:blipFill>
                  <pic:spPr>
                    <a:xfrm>
                      <a:off x="0" y="0"/>
                      <a:ext cx="5486400" cy="2291819"/>
                    </a:xfrm>
                    <a:prstGeom prst="rect"/>
                  </pic:spPr>
                </pic:pic>
              </a:graphicData>
            </a:graphic>
          </wp:inline>
        </w:drawing>
      </w:r>
    </w:p>
    <w:p>
      <w:pPr>
        <w:jc w:val="center"/>
      </w:pPr>
      <w:r>
        <w:drawing>
          <wp:inline xmlns:a="http://schemas.openxmlformats.org/drawingml/2006/main" xmlns:pic="http://schemas.openxmlformats.org/drawingml/2006/picture">
            <wp:extent cx="5486400" cy="2291819"/>
            <wp:docPr id="5" name="Picture 5"/>
            <wp:cNvGraphicFramePr>
              <a:graphicFrameLocks noChangeAspect="1"/>
            </wp:cNvGraphicFramePr>
            <a:graphic>
              <a:graphicData uri="http://schemas.openxmlformats.org/drawingml/2006/picture">
                <pic:pic>
                  <pic:nvPicPr>
                    <pic:cNvPr id="0" name="complex_p6922_frdB.png"/>
                    <pic:cNvPicPr/>
                  </pic:nvPicPr>
                  <pic:blipFill>
                    <a:blip r:embed="rId13"/>
                    <a:stretch>
                      <a:fillRect/>
                    </a:stretch>
                  </pic:blipFill>
                  <pic:spPr>
                    <a:xfrm>
                      <a:off x="0" y="0"/>
                      <a:ext cx="5486400" cy="2291819"/>
                    </a:xfrm>
                    <a:prstGeom prst="rect"/>
                  </pic:spPr>
                </pic:pic>
              </a:graphicData>
            </a:graphic>
          </wp:inline>
        </w:drawing>
      </w:r>
    </w:p>
    <w:p>
      <w:pPr>
        <w:spacing w:after="240"/>
      </w:pPr>
      <w:r>
        <w:rPr>
          <w:b/>
          <w:sz w:val="18"/>
        </w:rPr>
        <w:t xml:space="preserve">Figure 4.3. </w:t>
      </w:r>
      <w:r>
        <w:rPr>
          <w:sz w:val="18"/>
        </w:rPr>
        <w:t>Assembled probe–graphene models for p5178 (algD, top) and p6922</w:t>
        <w:br/>
        <w:t>(frdB, bottom), rendered from the model coordinates. Left: side view, with the graphene</w:t>
        <w:br/>
        <w:t>plane, the probe above it and the 3.2 Å separation indicated. Right: top view, showing the</w:t>
        <w:br/>
        <w:t>probe footprint within the 121.6 × 119.8 Å sheet. Probe atoms are coloured by element;</w:t>
        <w:br/>
        <w:t>graphene carbons are grey.</w:t>
      </w:r>
    </w:p>
    <w:p>
      <w:r>
        <w:t>These assembled structures are starting geometries for subsequent docking or force-field refinement. No interaction energy is computed at this stage, so they support no claim about binding affinity or preferred orientation; what they establish is that the whole panel can be assembled into clash-free, physically sensible interface models by an automated procedure, and that the resulting models are suitable inputs for the refinement stages that follow.</w:t>
      </w:r>
    </w:p>
    <w:p>
      <w:pPr>
        <w:pStyle w:val="Heading2"/>
      </w:pPr>
      <w:r>
        <w:t>Why 1× PBS is kept as the reference</w:t>
      </w:r>
    </w:p>
    <w:p>
      <w:r>
        <w:t>These coverage values do not argue for diluting the buffer. Figure 4.4 sets the relevant dimensions side by side. In B-form DNA the base pairs are 0.34 nm apart along the helix axis (Watson &amp; Crick, 1953), so the 18- to 26-nucleotide probes selected in this work form duplexes 6.1 to 8.8 nm long (Section 4.10 measures the consequence directly), whereas λ_D is 0.76 nm in 1× PBS: even with the duplex standing on the surface, only about two base pairs lie inside it, and no probe long enough to hybridise specifically would fit. The mismatch is general for electronic biosensors, in which the Debye length under physiological conditions is below 1 nm while a 30-base aptamer extends up to about 10 nm (Kesler et al., 2020). Lying mostly outside λ_D in 1× PBS is therefore a property of the transduction rather than of these particular probes, and shortening them would reduce the stability and specificity of the duplex without bringing it inside.</w:t>
      </w:r>
    </w:p>
    <w:p>
      <w:pPr>
        <w:jc w:val="center"/>
      </w:pPr>
      <w:r>
        <w:drawing>
          <wp:inline xmlns:a="http://schemas.openxmlformats.org/drawingml/2006/main" xmlns:pic="http://schemas.openxmlformats.org/drawingml/2006/picture">
            <wp:extent cx="5486400" cy="2971800"/>
            <wp:docPr id="6" name="Picture 6"/>
            <wp:cNvGraphicFramePr>
              <a:graphicFrameLocks noChangeAspect="1"/>
            </wp:cNvGraphicFramePr>
            <a:graphic>
              <a:graphicData uri="http://schemas.openxmlformats.org/drawingml/2006/picture">
                <pic:pic>
                  <pic:nvPicPr>
                    <pic:cNvPr id="0" name="debye_scale.png"/>
                    <pic:cNvPicPr/>
                  </pic:nvPicPr>
                  <pic:blipFill>
                    <a:blip r:embed="rId14"/>
                    <a:stretch>
                      <a:fillRect/>
                    </a:stretch>
                  </pic:blipFill>
                  <pic:spPr>
                    <a:xfrm>
                      <a:off x="0" y="0"/>
                      <a:ext cx="5486400" cy="2971800"/>
                    </a:xfrm>
                    <a:prstGeom prst="rect"/>
                  </pic:spPr>
                </pic:pic>
              </a:graphicData>
            </a:graphic>
          </wp:inline>
        </w:drawing>
      </w:r>
    </w:p>
    <w:p>
      <w:pPr>
        <w:spacing w:after="240"/>
      </w:pPr>
      <w:r>
        <w:rPr>
          <w:b/>
          <w:sz w:val="18"/>
        </w:rPr>
        <w:t xml:space="preserve">Figure 4.4. </w:t>
      </w:r>
      <w:r>
        <w:rPr>
          <w:sz w:val="18"/>
        </w:rPr>
        <w:t>Length of a hybridised probe (B-form duplex, 0.34 nm per base pair (Watson &amp; Crick, 1953))</w:t>
        <w:br/>
        <w:t>for the shortest, median and longest probes selected (18, 20 and 26 nucleotides), compared on the</w:t>
        <w:br/>
        <w:t>same vertical scale with the Debye length of the three PBS dilutions (Purwidyantri et al., 2021). The dark</w:t>
        <w:br/>
        <w:t>segment is the part within λ_D in 1× PBS. The geometry is the most favourable one: a</w:t>
        <w:br/>
        <w:t>duplex perpendicular to the surface and touching it, without a linker.</w:t>
      </w:r>
    </w:p>
    <w:p>
      <w:r>
        <w:t>Several further considerations support keeping 1× PBS as the reference condition. It is the medium the device is meant to face: its osmolarity and ion concentration approximate those of physiological body fluids (Purwidyantri et al., 2021), so optimising the probes for a diluted buffer would optimise them for a condition that real samples do not have. Hybridisation is, moreover, still detected in 1× PBS. In the study from which the Debye lengths are taken, hybridisation of a 25-nucleotide target was detected at attomolar concentrations in all three dilutions (Table 4.6), and a tenfold increase of λ_D, from 1× to 0.01× PBS, only doubled the sensitivity. The Debye length derives from a simplified model of the double layer, valid only for small potentials (Kesler et al., 2020), and the authors of that study attribute the response in 1× PBS to the contribution of the buffer ions to the ionic density of the Stern layer (Purwidyantri et al.,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1× PBS</w:t>
            </w:r>
          </w:p>
        </w:tc>
        <w:tc>
          <w:tcPr>
            <w:tcW w:type="dxa" w:w="2160"/>
          </w:tcPr>
          <w:p>
            <w:r>
              <w:rPr>
                <w:b/>
                <w:sz w:val="18"/>
              </w:rPr>
              <w:t>0.1× PBS</w:t>
            </w:r>
          </w:p>
        </w:tc>
        <w:tc>
          <w:tcPr>
            <w:tcW w:type="dxa" w:w="2160"/>
          </w:tcPr>
          <w:p>
            <w:r>
              <w:rPr>
                <w:b/>
                <w:sz w:val="18"/>
              </w:rPr>
              <w:t>0.01× PBS</w:t>
            </w:r>
          </w:p>
        </w:tc>
      </w:tr>
      <w:tr>
        <w:tc>
          <w:tcPr>
            <w:tcW w:type="dxa" w:w="2160"/>
          </w:tcPr>
          <w:p>
            <w:r>
              <w:rPr>
                <w:sz w:val="18"/>
              </w:rPr>
              <w:t>λ_D (nm)</w:t>
            </w:r>
          </w:p>
        </w:tc>
        <w:tc>
          <w:tcPr>
            <w:tcW w:type="dxa" w:w="2160"/>
          </w:tcPr>
          <w:p>
            <w:r>
              <w:rPr>
                <w:sz w:val="18"/>
              </w:rPr>
              <w:t>0.76</w:t>
            </w:r>
          </w:p>
        </w:tc>
        <w:tc>
          <w:tcPr>
            <w:tcW w:type="dxa" w:w="2160"/>
          </w:tcPr>
          <w:p>
            <w:r>
              <w:rPr>
                <w:sz w:val="18"/>
              </w:rPr>
              <w:t>2.41</w:t>
            </w:r>
          </w:p>
        </w:tc>
        <w:tc>
          <w:tcPr>
            <w:tcW w:type="dxa" w:w="2160"/>
          </w:tcPr>
          <w:p>
            <w:r>
              <w:rPr>
                <w:sz w:val="18"/>
              </w:rPr>
              <w:t>7.61</w:t>
            </w:r>
          </w:p>
        </w:tc>
      </w:tr>
      <w:tr>
        <w:tc>
          <w:tcPr>
            <w:tcW w:type="dxa" w:w="2160"/>
          </w:tcPr>
          <w:p>
            <w:r>
              <w:rPr>
                <w:sz w:val="18"/>
              </w:rPr>
              <w:t>Base pairs of B-DNA within λ_D</w:t>
            </w:r>
          </w:p>
        </w:tc>
        <w:tc>
          <w:tcPr>
            <w:tcW w:type="dxa" w:w="2160"/>
          </w:tcPr>
          <w:p>
            <w:r>
              <w:rPr>
                <w:sz w:val="18"/>
              </w:rPr>
              <w:t>2</w:t>
            </w:r>
          </w:p>
        </w:tc>
        <w:tc>
          <w:tcPr>
            <w:tcW w:type="dxa" w:w="2160"/>
          </w:tcPr>
          <w:p>
            <w:r>
              <w:rPr>
                <w:sz w:val="18"/>
              </w:rPr>
              <w:t>7</w:t>
            </w:r>
          </w:p>
        </w:tc>
        <w:tc>
          <w:tcPr>
            <w:tcW w:type="dxa" w:w="2160"/>
          </w:tcPr>
          <w:p>
            <w:r>
              <w:rPr>
                <w:sz w:val="18"/>
              </w:rPr>
              <w:t>22</w:t>
            </w:r>
          </w:p>
        </w:tc>
      </w:tr>
      <w:tr>
        <w:tc>
          <w:tcPr>
            <w:tcW w:type="dxa" w:w="2160"/>
          </w:tcPr>
          <w:p>
            <w:r>
              <w:rPr>
                <w:sz w:val="18"/>
              </w:rPr>
              <w:t>Sensitivity (mV per decade)</w:t>
            </w:r>
          </w:p>
        </w:tc>
        <w:tc>
          <w:tcPr>
            <w:tcW w:type="dxa" w:w="2160"/>
          </w:tcPr>
          <w:p>
            <w:r>
              <w:rPr>
                <w:sz w:val="18"/>
              </w:rPr>
              <w:t>12.67</w:t>
            </w:r>
          </w:p>
        </w:tc>
        <w:tc>
          <w:tcPr>
            <w:tcW w:type="dxa" w:w="2160"/>
          </w:tcPr>
          <w:p>
            <w:r>
              <w:rPr>
                <w:sz w:val="18"/>
              </w:rPr>
              <w:t>15.95</w:t>
            </w:r>
          </w:p>
        </w:tc>
        <w:tc>
          <w:tcPr>
            <w:tcW w:type="dxa" w:w="2160"/>
          </w:tcPr>
          <w:p>
            <w:r>
              <w:rPr>
                <w:sz w:val="18"/>
              </w:rPr>
              <w:t>26.69</w:t>
            </w:r>
          </w:p>
        </w:tc>
      </w:tr>
      <w:tr>
        <w:tc>
          <w:tcPr>
            <w:tcW w:type="dxa" w:w="2160"/>
          </w:tcPr>
          <w:p>
            <w:r>
              <w:rPr>
                <w:sz w:val="18"/>
              </w:rPr>
              <w:t>Limit of detection (aM)</w:t>
            </w:r>
          </w:p>
        </w:tc>
        <w:tc>
          <w:tcPr>
            <w:tcW w:type="dxa" w:w="2160"/>
          </w:tcPr>
          <w:p>
            <w:r>
              <w:rPr>
                <w:sz w:val="18"/>
              </w:rPr>
              <w:t>22.60</w:t>
            </w:r>
          </w:p>
        </w:tc>
        <w:tc>
          <w:tcPr>
            <w:tcW w:type="dxa" w:w="2160"/>
          </w:tcPr>
          <w:p>
            <w:r>
              <w:rPr>
                <w:sz w:val="18"/>
              </w:rPr>
              <w:t>7.58</w:t>
            </w:r>
          </w:p>
        </w:tc>
        <w:tc>
          <w:tcPr>
            <w:tcW w:type="dxa" w:w="2160"/>
          </w:tcPr>
          <w:p>
            <w:r>
              <w:rPr>
                <w:sz w:val="18"/>
              </w:rPr>
              <w:t>5.01</w:t>
            </w:r>
          </w:p>
        </w:tc>
      </w:tr>
    </w:tbl>
    <w:p>
      <w:pPr>
        <w:spacing w:after="240"/>
      </w:pPr>
      <w:r>
        <w:rPr>
          <w:b/>
          <w:sz w:val="18"/>
        </w:rPr>
        <w:t xml:space="preserve">Table 4.6. </w:t>
      </w:r>
      <w:r>
        <w:rPr>
          <w:sz w:val="18"/>
        </w:rPr>
        <w:t>Debye length of the three PBS dilutions, the corresponding number of base pairs of a B-form</w:t>
        <w:br/>
        <w:t>duplex (0.34 nm per base pair (Watson &amp; Crick, 1953)), and the response of graphene transistors to the</w:t>
        <w:br/>
        <w:t>hybridisation of a 25-nucleotide target in each dilution, as reported by Purwidyantri et al. (2021).</w:t>
      </w:r>
    </w:p>
    <w:p>
      <w:r>
        <w:t>Hybridisation itself requires salt: cations screen the electrostatic repulsion between the negatively charged backbones, so that a higher ionic strength promotes duplex formation (Campos et al., 2019). For the 30 probes selected here, the median T_m predicted by the same nearest-neighbour model falls from 58.0°C in 1× PBS to 47.0°C in 0.1× PBS and to 36.7°C in 0.01× PBS, below the hybridisation temperature of 37°C; the last value is an estimate, since it extrapolates the salt correction to a very low ionic strength. Diluting a sample to lengthen λ_D also dilutes the analyte (Kesler et al., 2020). The buffer in which the device is read, however, need not be the one in which hybridisation takes place: Campos et al. (2019) hybridised in a buffer of high ionic strength (10 mM phosphate buffer, 150 mM NaCl and 50 mM MgCl₂) and measured in 10 mM phosphate buffer after a stringency rinse. The probes are therefore designed for 1× PBS, and the readout buffer remains a parameter of the device protocol.</w:t>
      </w:r>
    </w:p>
    <w:p>
      <w:r>
        <w:t>Strategies that achieve detection at physiological ionic strength act on the device rather than on the probe sequence: a biomolecule-permeable layer of polyethylene glycol on the sensing surface (Gao et al., 2015), also applied to graphene transistors (Gao et al., 2016), or the transduction of a target-induced conformational change that occurs within the screening length (Nakatsuka et al., 2018). Within the scope of probe design, 1× PBS is thus taken as the physiologically meaningful reference, and the more dilute buffers as readout scenarios evaluated for sensitivity.</w:t>
      </w:r>
    </w:p>
    <w:p>
      <w:pPr>
        <w:pStyle w:val="Heading2"/>
      </w:pPr>
      <w:r>
        <w:t>Debye coverage of the interface models</w:t>
      </w:r>
    </w:p>
    <w:p>
      <w:r>
        <w:t>The models make measurable a device-relevant quantity that no sequence-level metric captures: how much of the probe, and of its charge, lies close enough to the graphene to be electrically visible (Section 3.11.3). Three geometries were measured — the rigid placement, the probe anchored by its 3' end, and the anchored duplex — in the three electrolytes, whose Debye lengths differ by an order of magnitude.</w:t>
      </w:r>
    </w:p>
    <w:p>
      <w:pPr>
        <w:pStyle w:val="Heading3"/>
      </w:pPr>
      <w:r>
        <w:t>Rigid placement</w:t>
      </w:r>
    </w:p>
    <w:p>
      <w:r>
        <w:t>In the placement that preserves the predicted orientation, the fraction of probe atoms within λ_D ranges from 2.3 to 14.2% (median 7.4%) in 1× PBS, which corresponds to between 0 and 4 of the 18–26 phosphates of each probe (median 3). In 0.1× PBS the fraction rises to 23.2–97.8% (median 58.9%), and in 0.01× PBS it reaches 100% for every model: the tallest probe stands 62.4 Å above the sheet, well inside the 76.1 Å of λ_D at that dilution.</w:t>
      </w:r>
    </w:p>
    <w:p>
      <w:r>
        <w:t>Table 4.7 breaks these values down by Boltz-2 confidence class. Three observations follow. At 1× PBS no model of any class reaches even 15% coverage, and the class medians are ordered against the confidence (low 8.5%, moderate 6.2%, good 5.6%). At 0.1× PBS the models separate, from 23.2% to 97.8%, and it is in this buffer that the criterion is most informative: 22 of the 30 models place at least half of their atoms inside the screening length. At 0.01× PBS the criterion saturates, assigning 100% to every candidate and therefore distinguishing none.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p>
        </w:tc>
        <w:tc>
          <w:tcPr>
            <w:tcW w:type="dxa" w:w="1234"/>
          </w:tcPr>
          <w:p>
            <w:r>
              <w:rPr>
                <w:b/>
                <w:sz w:val="18"/>
              </w:rPr>
            </w:r>
          </w:p>
        </w:tc>
        <w:tc>
          <w:tcPr>
            <w:tcW w:type="dxa" w:w="1234"/>
          </w:tcPr>
          <w:p>
            <w:r>
              <w:rPr>
                <w:b/>
                <w:sz w:val="18"/>
              </w:rPr>
              <w:t>Height</w:t>
            </w:r>
          </w:p>
        </w:tc>
        <w:tc>
          <w:tcPr>
            <w:tcW w:type="dxa" w:w="1234"/>
          </w:tcPr>
          <w:p>
            <w:r>
              <w:rPr>
                <w:b/>
                <w:sz w:val="18"/>
              </w:rPr>
              <w:t>Probe atoms within λ_D</w:t>
            </w:r>
          </w:p>
        </w:tc>
        <w:tc>
          <w:tcPr>
            <w:tcW w:type="dxa" w:w="1234"/>
          </w:tcPr>
          <w:p>
            <w:r>
              <w:rPr>
                <w:b/>
                <w:sz w:val="18"/>
              </w:rPr>
            </w:r>
          </w:p>
        </w:tc>
        <w:tc>
          <w:tcPr>
            <w:tcW w:type="dxa" w:w="1234"/>
          </w:tcPr>
          <w:p>
            <w:r>
              <w:rPr>
                <w:b/>
                <w:sz w:val="18"/>
              </w:rPr>
            </w:r>
          </w:p>
        </w:tc>
        <w:tc>
          <w:tcPr>
            <w:tcW w:type="dxa" w:w="1234"/>
          </w:tcPr>
          <w:p>
            <w:r>
              <w:rPr>
                <w:b/>
                <w:sz w:val="18"/>
              </w:rPr>
            </w:r>
          </w:p>
        </w:tc>
      </w:tr>
      <w:tr>
        <w:tc>
          <w:tcPr>
            <w:tcW w:type="dxa" w:w="1234"/>
          </w:tcPr>
          <w:p>
            <w:r>
              <w:rPr>
                <w:sz w:val="18"/>
              </w:rPr>
              <w:t>Class</w:t>
            </w:r>
          </w:p>
        </w:tc>
        <w:tc>
          <w:tcPr>
            <w:tcW w:type="dxa" w:w="1234"/>
          </w:tcPr>
          <w:p>
            <w:r>
              <w:rPr>
                <w:sz w:val="18"/>
              </w:rPr>
              <w:t>n</w:t>
            </w:r>
          </w:p>
        </w:tc>
        <w:tc>
          <w:tcPr>
            <w:tcW w:type="dxa" w:w="1234"/>
          </w:tcPr>
          <w:p>
            <w:r>
              <w:rPr>
                <w:sz w:val="18"/>
              </w:rPr>
              <w:t>(Å)</w:t>
            </w:r>
          </w:p>
        </w:tc>
        <w:tc>
          <w:tcPr>
            <w:tcW w:type="dxa" w:w="1234"/>
          </w:tcPr>
          <w:p>
            <w:r>
              <w:rPr>
                <w:sz w:val="18"/>
              </w:rPr>
              <w:t>1×</w:t>
            </w:r>
          </w:p>
        </w:tc>
        <w:tc>
          <w:tcPr>
            <w:tcW w:type="dxa" w:w="1234"/>
          </w:tcPr>
          <w:p>
            <w:r>
              <w:rPr>
                <w:sz w:val="18"/>
              </w:rPr>
              <w:t>0.1×</w:t>
            </w:r>
          </w:p>
        </w:tc>
        <w:tc>
          <w:tcPr>
            <w:tcW w:type="dxa" w:w="1234"/>
          </w:tcPr>
          <w:p>
            <w:r>
              <w:rPr>
                <w:sz w:val="18"/>
              </w:rPr>
              <w:t>0.1×, ≥ 50%</w:t>
            </w:r>
          </w:p>
        </w:tc>
        <w:tc>
          <w:tcPr>
            <w:tcW w:type="dxa" w:w="1234"/>
          </w:tcPr>
          <w:p>
            <w:r>
              <w:rPr>
                <w:sz w:val="18"/>
              </w:rPr>
              <w:t>0.01×</w:t>
            </w:r>
          </w:p>
        </w:tc>
      </w:tr>
      <w:tr>
        <w:tc>
          <w:tcPr>
            <w:tcW w:type="dxa" w:w="1234"/>
          </w:tcPr>
          <w:p>
            <w:r>
              <w:rPr>
                <w:sz w:val="18"/>
              </w:rPr>
              <w:t>good</w:t>
            </w:r>
          </w:p>
        </w:tc>
        <w:tc>
          <w:tcPr>
            <w:tcW w:type="dxa" w:w="1234"/>
          </w:tcPr>
          <w:p>
            <w:r>
              <w:rPr>
                <w:sz w:val="18"/>
              </w:rPr>
              <w:t>4</w:t>
            </w:r>
          </w:p>
        </w:tc>
        <w:tc>
          <w:tcPr>
            <w:tcW w:type="dxa" w:w="1234"/>
          </w:tcPr>
          <w:p>
            <w:r>
              <w:rPr>
                <w:sz w:val="18"/>
              </w:rPr>
              <w:t>47.6</w:t>
            </w:r>
          </w:p>
        </w:tc>
        <w:tc>
          <w:tcPr>
            <w:tcW w:type="dxa" w:w="1234"/>
          </w:tcPr>
          <w:p>
            <w:r>
              <w:rPr>
                <w:sz w:val="18"/>
              </w:rPr>
              <w:t>5.6%</w:t>
            </w:r>
          </w:p>
        </w:tc>
        <w:tc>
          <w:tcPr>
            <w:tcW w:type="dxa" w:w="1234"/>
          </w:tcPr>
          <w:p>
            <w:r>
              <w:rPr>
                <w:sz w:val="18"/>
              </w:rPr>
              <w:t>53.9%</w:t>
            </w:r>
          </w:p>
        </w:tc>
        <w:tc>
          <w:tcPr>
            <w:tcW w:type="dxa" w:w="1234"/>
          </w:tcPr>
          <w:p>
            <w:r>
              <w:rPr>
                <w:sz w:val="18"/>
              </w:rPr>
              <w:t>2/4</w:t>
            </w:r>
          </w:p>
        </w:tc>
        <w:tc>
          <w:tcPr>
            <w:tcW w:type="dxa" w:w="1234"/>
          </w:tcPr>
          <w:p>
            <w:r>
              <w:rPr>
                <w:sz w:val="18"/>
              </w:rPr>
              <w:t>100.0%</w:t>
            </w:r>
          </w:p>
        </w:tc>
      </w:tr>
      <w:tr>
        <w:tc>
          <w:tcPr>
            <w:tcW w:type="dxa" w:w="1234"/>
          </w:tcPr>
          <w:p>
            <w:r>
              <w:rPr>
                <w:sz w:val="18"/>
              </w:rPr>
              <w:t>moderate</w:t>
            </w:r>
          </w:p>
        </w:tc>
        <w:tc>
          <w:tcPr>
            <w:tcW w:type="dxa" w:w="1234"/>
          </w:tcPr>
          <w:p>
            <w:r>
              <w:rPr>
                <w:sz w:val="18"/>
              </w:rPr>
              <w:t>13</w:t>
            </w:r>
          </w:p>
        </w:tc>
        <w:tc>
          <w:tcPr>
            <w:tcW w:type="dxa" w:w="1234"/>
          </w:tcPr>
          <w:p>
            <w:r>
              <w:rPr>
                <w:sz w:val="18"/>
              </w:rPr>
              <w:t>40.1</w:t>
            </w:r>
          </w:p>
        </w:tc>
        <w:tc>
          <w:tcPr>
            <w:tcW w:type="dxa" w:w="1234"/>
          </w:tcPr>
          <w:p>
            <w:r>
              <w:rPr>
                <w:sz w:val="18"/>
              </w:rPr>
              <w:t>6.2%</w:t>
            </w:r>
          </w:p>
        </w:tc>
        <w:tc>
          <w:tcPr>
            <w:tcW w:type="dxa" w:w="1234"/>
          </w:tcPr>
          <w:p>
            <w:r>
              <w:rPr>
                <w:sz w:val="18"/>
              </w:rPr>
              <w:t>56.5%</w:t>
            </w:r>
          </w:p>
        </w:tc>
        <w:tc>
          <w:tcPr>
            <w:tcW w:type="dxa" w:w="1234"/>
          </w:tcPr>
          <w:p>
            <w:r>
              <w:rPr>
                <w:sz w:val="18"/>
              </w:rPr>
              <w:t>10/13</w:t>
            </w:r>
          </w:p>
        </w:tc>
        <w:tc>
          <w:tcPr>
            <w:tcW w:type="dxa" w:w="1234"/>
          </w:tcPr>
          <w:p>
            <w:r>
              <w:rPr>
                <w:sz w:val="18"/>
              </w:rPr>
              <w:t>100.0%</w:t>
            </w:r>
          </w:p>
        </w:tc>
      </w:tr>
      <w:tr>
        <w:tc>
          <w:tcPr>
            <w:tcW w:type="dxa" w:w="1234"/>
          </w:tcPr>
          <w:p>
            <w:r>
              <w:rPr>
                <w:sz w:val="18"/>
              </w:rPr>
              <w:t>low</w:t>
            </w:r>
          </w:p>
        </w:tc>
        <w:tc>
          <w:tcPr>
            <w:tcW w:type="dxa" w:w="1234"/>
          </w:tcPr>
          <w:p>
            <w:r>
              <w:rPr>
                <w:sz w:val="18"/>
              </w:rPr>
              <w:t>13</w:t>
            </w:r>
          </w:p>
        </w:tc>
        <w:tc>
          <w:tcPr>
            <w:tcW w:type="dxa" w:w="1234"/>
          </w:tcPr>
          <w:p>
            <w:r>
              <w:rPr>
                <w:sz w:val="18"/>
              </w:rPr>
              <w:t>33.4</w:t>
            </w:r>
          </w:p>
        </w:tc>
        <w:tc>
          <w:tcPr>
            <w:tcW w:type="dxa" w:w="1234"/>
          </w:tcPr>
          <w:p>
            <w:r>
              <w:rPr>
                <w:sz w:val="18"/>
              </w:rPr>
              <w:t>8.5%</w:t>
            </w:r>
          </w:p>
        </w:tc>
        <w:tc>
          <w:tcPr>
            <w:tcW w:type="dxa" w:w="1234"/>
          </w:tcPr>
          <w:p>
            <w:r>
              <w:rPr>
                <w:sz w:val="18"/>
              </w:rPr>
              <w:t>73.4%</w:t>
            </w:r>
          </w:p>
        </w:tc>
        <w:tc>
          <w:tcPr>
            <w:tcW w:type="dxa" w:w="1234"/>
          </w:tcPr>
          <w:p>
            <w:r>
              <w:rPr>
                <w:sz w:val="18"/>
              </w:rPr>
              <w:t>10/13</w:t>
            </w:r>
          </w:p>
        </w:tc>
        <w:tc>
          <w:tcPr>
            <w:tcW w:type="dxa" w:w="1234"/>
          </w:tcPr>
          <w:p>
            <w:r>
              <w:rPr>
                <w:sz w:val="18"/>
              </w:rPr>
              <w:t>100.0%</w:t>
            </w:r>
          </w:p>
        </w:tc>
      </w:tr>
      <w:tr>
        <w:tc>
          <w:tcPr>
            <w:tcW w:type="dxa" w:w="1234"/>
          </w:tcPr>
          <w:p>
            <w:r>
              <w:rPr>
                <w:sz w:val="18"/>
              </w:rPr>
              <w:t>All</w:t>
            </w:r>
          </w:p>
        </w:tc>
        <w:tc>
          <w:tcPr>
            <w:tcW w:type="dxa" w:w="1234"/>
          </w:tcPr>
          <w:p>
            <w:r>
              <w:rPr>
                <w:sz w:val="18"/>
              </w:rPr>
              <w:t>30</w:t>
            </w:r>
          </w:p>
        </w:tc>
        <w:tc>
          <w:tcPr>
            <w:tcW w:type="dxa" w:w="1234"/>
          </w:tcPr>
          <w:p>
            <w:r>
              <w:rPr>
                <w:sz w:val="18"/>
              </w:rPr>
              <w:t>38.2</w:t>
            </w:r>
          </w:p>
        </w:tc>
        <w:tc>
          <w:tcPr>
            <w:tcW w:type="dxa" w:w="1234"/>
          </w:tcPr>
          <w:p>
            <w:r>
              <w:rPr>
                <w:sz w:val="18"/>
              </w:rPr>
              <w:t>7.4%</w:t>
            </w:r>
          </w:p>
        </w:tc>
        <w:tc>
          <w:tcPr>
            <w:tcW w:type="dxa" w:w="1234"/>
          </w:tcPr>
          <w:p>
            <w:r>
              <w:rPr>
                <w:sz w:val="18"/>
              </w:rPr>
              <w:t>58.9%</w:t>
            </w:r>
          </w:p>
        </w:tc>
        <w:tc>
          <w:tcPr>
            <w:tcW w:type="dxa" w:w="1234"/>
          </w:tcPr>
          <w:p>
            <w:r>
              <w:rPr>
                <w:sz w:val="18"/>
              </w:rPr>
              <w:t>22/30</w:t>
            </w:r>
          </w:p>
        </w:tc>
        <w:tc>
          <w:tcPr>
            <w:tcW w:type="dxa" w:w="1234"/>
          </w:tcPr>
          <w:p>
            <w:r>
              <w:rPr>
                <w:sz w:val="18"/>
              </w:rPr>
              <w:t>100.0%</w:t>
            </w:r>
          </w:p>
        </w:tc>
      </w:tr>
    </w:tbl>
    <w:p>
      <w:pPr>
        <w:spacing w:after="240"/>
      </w:pPr>
      <w:r>
        <w:rPr>
          <w:b/>
          <w:sz w:val="18"/>
        </w:rPr>
        <w:t xml:space="preserve">Table 4.7. </w:t>
      </w:r>
      <w:r>
        <w:rPr>
          <w:sz w:val="18"/>
        </w:rPr>
        <w:t>Debye coverage of the 30 models by Boltz-2 confidence class. “Height” is the median</w:t>
        <w:br/>
        <w:t>height of the probe above the graphene plane; the coverage columns give the median percentage of</w:t>
        <w:br/>
        <w:t>probe atoms within λ_D in each buffer, and the sixth column the number of models of each</w:t>
        <w:br/>
        <w:t>class with at least half of the probe inside λ_D at 0.1× PBS.</w:t>
      </w:r>
    </w:p>
    <w:p>
      <w:r>
        <w:t>The correlation between coverage and 3D confidence is weak and slightly negative in both buffers in which it can be computed (r = -0.19 at 1× PBS and r = -0.14 at 0.1× PBS; at 0.01× PBS the coverage is the same for every probe, so no correlation is defined). A well-predicted probe is thus not a more visible one. This is consistent with the independence already observed between the 3D confidence and the sequence-level quality (Section 4.3), and it is what makes interface geometry worth carrying as a criterion of its own: it orders the candidates along an axis that neither the sequence screening nor the structure prediction captures.</w:t>
      </w:r>
    </w:p>
    <w:p>
      <w:pPr>
        <w:pStyle w:val="Heading3"/>
      </w:pPr>
      <w:r>
        <w:t>Anchored probe and hybridised duplex</w:t>
      </w:r>
    </w:p>
    <w:p>
      <w:r>
        <w:t>The rigid placement inherits the orientation predicted for the free probe, which is arbitrary with respect to the surface. The anchored geometry removes that arbitrariness by reproducing the immobilisation used experimentally — the probe tethered by its 3' end (Campos et al., 2019; Purwidyantri et al., 2021) — and by averaging over the orientations such a tether allows. Of the 20 000 orientations sampled per probe, those retained (median 5339 per probe) place a median of 1 to 2 phosphates within λ_D in 1× PBS for 28 of the 30 probes, and at most 8 in the most favourable orientation of any probe. Anchoring therefore reduces the charge inside the screening length relative to the unconstrained placement, as expected: the probe can no longer present whichever face happens to be closest to the surface.</w:t>
      </w:r>
    </w:p>
    <w:p>
      <w:r>
        <w:t>The number of retained orientations varies widely between probes, from 98 to 6331, and it is itself informative. It measures how exposed the 3' terminus is in the predicted conformation: an orientation is retained only when that terminus is the part of the molecule closest to the surface, which is rare when it is tucked into the body of the structure. Across the panel the retained count is strongly and negatively related to the anchored charge (r = -0.89; Spearman rho = -0.85), and the relation has a geometric reading rather than being an artefact of sampling. When the 3' end protrudes, many orientations qualify, but in them the rest of the probe extends away from the contact point and few phosphates remain within λ_D. When it is buried, few orientations qualify, and in those few the molecule is necessarily folded around its own anchor, so more of it stays close to the surface. The two probes with fewest retained orientations, p2331 (98) and p4010 (542), are accordingly those with the highest anchored charge (5 and 4 phosphates), while the probes with more than 4000 retained orientations have a median of 1.</w:t>
      </w:r>
    </w:p>
    <w:p>
      <w:r>
        <w:t>Two consequences follow. The anchored metric is not a property of the sequence alone: it is governed largely by where the 3' terminus happens to sit in the predicted conformation, which is itself a prediction. And the estimates for probes with few retained orientations rest on a small sample, so their values are the least reliable of the panel — a caveat that applies precisely to the probes the metric favours.</w:t>
      </w:r>
    </w:p>
    <w:p>
      <w:r>
        <w:t>The hybridised state is the one the device actually senses, since it is the arrival of the target that changes the charge at the surface. Measured on the anchored duplexes, the result is unambiguous: in 1× PBS the median number of target phosphates within λ_D is zero for all 30 probes, and even the most favourable orientation places only 4–7 of them inside. In 0.1× PBS the median rises to 8 target phosphates, and in 0.01× PBS the entire target lies inside λ_D for every probe. The charge that hybridisation brings into the sensing volume is thus set by the screening length and by the geometry of the duplex, not by the length of the probe: a longer probe captures a longer target, but the additional charge is added beyond λ_D, where it is screened. This is the quantitative counterpart, within this panel, of the dimensional mismatch discussed in Section 4.9.</w:t>
      </w:r>
    </w:p>
    <w:p>
      <w:pPr>
        <w:pStyle w:val="Heading3"/>
      </w:pPr>
      <w:r>
        <w:t>Final selection</w:t>
      </w:r>
    </w:p>
    <w:p>
      <w:r>
        <w:t>Because the Boltz-2 confidence and the anchored charge within λ_D are independent, the candidates of each gene were compared on both axes at once and those on the Pareto front retained (Section 3.11.3). The front contains 11 of the 30 probes (Table 4.8), between one and three per gene. Its composition shows why neither axis alone would suffice: it includes the probes with the highest confidence of their gene, such as p598 (nuc) and p5178 (algD), but also probes of low confidence that present appreciably more charge at the interface, such as p4010 (oprL) and p2331 (lytA). Ranking by confidence alone would have discarded the latter; ranking by coverage alone would have discarded the former.</w:t>
      </w:r>
    </w:p>
    <w:p>
      <w:r>
        <w:t>The two probes admitted on charge alone, p4010 and p2331, are those whose anchored values rest on the fewest sampled orientations, for the reason given above. Restricting the front to the 28 probes with at least 1000 retained orientations leaves 9 probes and removes exactly those two, without changing any other entry. Both lists are defensible, and the difference between them is reported here rather than resolved: the longer list is the one the stated criterion produces, while the shorter one is the more conservative reading. Either way, every gene keeps at least one candidate, and the probes selected on confidence are unaffected.</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Gene</w:t>
            </w:r>
          </w:p>
        </w:tc>
        <w:tc>
          <w:tcPr>
            <w:tcW w:type="dxa" w:w="1234"/>
          </w:tcPr>
          <w:p>
            <w:r>
              <w:rPr>
                <w:b/>
                <w:sz w:val="18"/>
              </w:rPr>
              <w:t>Probe</w:t>
            </w:r>
          </w:p>
        </w:tc>
        <w:tc>
          <w:tcPr>
            <w:tcW w:type="dxa" w:w="1234"/>
          </w:tcPr>
          <w:p>
            <w:r>
              <w:rPr>
                <w:b/>
                <w:sz w:val="18"/>
              </w:rPr>
              <w:t>Class</w:t>
            </w:r>
          </w:p>
        </w:tc>
        <w:tc>
          <w:tcPr>
            <w:tcW w:type="dxa" w:w="1234"/>
          </w:tcPr>
          <w:p>
            <w:r>
              <w:rPr>
                <w:b/>
                <w:sz w:val="18"/>
              </w:rPr>
              <w:t>Confidence</w:t>
            </w:r>
          </w:p>
        </w:tc>
        <w:tc>
          <w:tcPr>
            <w:tcW w:type="dxa" w:w="1234"/>
          </w:tcPr>
          <w:p>
            <w:r>
              <w:rPr>
                <w:b/>
                <w:sz w:val="18"/>
              </w:rPr>
              <w:t>Phosphates within λ_D</w:t>
            </w:r>
          </w:p>
        </w:tc>
        <w:tc>
          <w:tcPr>
            <w:tcW w:type="dxa" w:w="1234"/>
          </w:tcPr>
          <w:p>
            <w:r>
              <w:rPr>
                <w:b/>
                <w:sz w:val="18"/>
              </w:rPr>
              <w:t>Orientations</w:t>
            </w:r>
          </w:p>
        </w:tc>
        <w:tc>
          <w:tcPr>
            <w:tcW w:type="dxa" w:w="1234"/>
          </w:tcPr>
          <w:p>
            <w:r>
              <w:rPr>
                <w:b/>
                <w:sz w:val="18"/>
              </w:rPr>
            </w:r>
          </w:p>
        </w:tc>
      </w:tr>
      <w:tr>
        <w:tc>
          <w:tcPr>
            <w:tcW w:type="dxa" w:w="1234"/>
          </w:tcPr>
          <w:p>
            <w:r>
              <w:rPr>
                <w:sz w:val="18"/>
              </w:rPr>
            </w:r>
          </w:p>
        </w:tc>
        <w:tc>
          <w:tcPr>
            <w:tcW w:type="dxa" w:w="1234"/>
          </w:tcPr>
          <w:p>
            <w:r>
              <w:rPr>
                <w:sz w:val="18"/>
              </w:rPr>
            </w:r>
          </w:p>
        </w:tc>
        <w:tc>
          <w:tcPr>
            <w:tcW w:type="dxa" w:w="1234"/>
          </w:tcPr>
          <w:p>
            <w:r>
              <w:rPr>
                <w:sz w:val="18"/>
              </w:rPr>
            </w:r>
          </w:p>
        </w:tc>
        <w:tc>
          <w:tcPr>
            <w:tcW w:type="dxa" w:w="1234"/>
          </w:tcPr>
          <w:p>
            <w:r>
              <w:rPr>
                <w:sz w:val="18"/>
              </w:rPr>
            </w:r>
          </w:p>
        </w:tc>
        <w:tc>
          <w:tcPr>
            <w:tcW w:type="dxa" w:w="1234"/>
          </w:tcPr>
          <w:p>
            <w:r>
              <w:rPr>
                <w:sz w:val="18"/>
              </w:rPr>
              <w:t>median</w:t>
            </w:r>
          </w:p>
        </w:tc>
        <w:tc>
          <w:tcPr>
            <w:tcW w:type="dxa" w:w="1234"/>
          </w:tcPr>
          <w:p>
            <w:r>
              <w:rPr>
                <w:sz w:val="18"/>
              </w:rPr>
              <w:t>max.</w:t>
            </w:r>
          </w:p>
        </w:tc>
        <w:tc>
          <w:tcPr>
            <w:tcW w:type="dxa" w:w="1234"/>
          </w:tcPr>
          <w:p>
            <w:r>
              <w:rPr>
                <w:sz w:val="18"/>
              </w:rPr>
            </w:r>
          </w:p>
        </w:tc>
      </w:tr>
      <w:tr>
        <w:tc>
          <w:tcPr>
            <w:tcW w:type="dxa" w:w="1234"/>
          </w:tcPr>
          <w:p>
            <w:r>
              <w:rPr>
                <w:sz w:val="18"/>
              </w:rPr>
              <w:t>nuc</w:t>
            </w:r>
          </w:p>
        </w:tc>
        <w:tc>
          <w:tcPr>
            <w:tcW w:type="dxa" w:w="1234"/>
          </w:tcPr>
          <w:p>
            <w:r>
              <w:rPr>
                <w:sz w:val="18"/>
              </w:rPr>
              <w:t>p598</w:t>
            </w:r>
          </w:p>
        </w:tc>
        <w:tc>
          <w:tcPr>
            <w:tcW w:type="dxa" w:w="1234"/>
          </w:tcPr>
          <w:p>
            <w:r>
              <w:rPr>
                <w:sz w:val="18"/>
              </w:rPr>
              <w:t>good</w:t>
            </w:r>
          </w:p>
        </w:tc>
        <w:tc>
          <w:tcPr>
            <w:tcW w:type="dxa" w:w="1234"/>
          </w:tcPr>
          <w:p>
            <w:r>
              <w:rPr>
                <w:sz w:val="18"/>
              </w:rPr>
              <w:t>0.752</w:t>
            </w:r>
          </w:p>
        </w:tc>
        <w:tc>
          <w:tcPr>
            <w:tcW w:type="dxa" w:w="1234"/>
          </w:tcPr>
          <w:p>
            <w:r>
              <w:rPr>
                <w:sz w:val="18"/>
              </w:rPr>
              <w:t>1</w:t>
            </w:r>
          </w:p>
        </w:tc>
        <w:tc>
          <w:tcPr>
            <w:tcW w:type="dxa" w:w="1234"/>
          </w:tcPr>
          <w:p>
            <w:r>
              <w:rPr>
                <w:sz w:val="18"/>
              </w:rPr>
              <w:t>6</w:t>
            </w:r>
          </w:p>
        </w:tc>
        <w:tc>
          <w:tcPr>
            <w:tcW w:type="dxa" w:w="1234"/>
          </w:tcPr>
          <w:p>
            <w:r>
              <w:rPr>
                <w:sz w:val="18"/>
              </w:rPr>
              <w:t>6293</w:t>
            </w:r>
          </w:p>
        </w:tc>
      </w:tr>
      <w:tr>
        <w:tc>
          <w:tcPr>
            <w:tcW w:type="dxa" w:w="1234"/>
          </w:tcPr>
          <w:p>
            <w:r>
              <w:rPr>
                <w:sz w:val="18"/>
              </w:rPr>
              <w:t>nuc</w:t>
            </w:r>
          </w:p>
        </w:tc>
        <w:tc>
          <w:tcPr>
            <w:tcW w:type="dxa" w:w="1234"/>
          </w:tcPr>
          <w:p>
            <w:r>
              <w:rPr>
                <w:sz w:val="18"/>
              </w:rPr>
              <w:t>p104</w:t>
            </w:r>
          </w:p>
        </w:tc>
        <w:tc>
          <w:tcPr>
            <w:tcW w:type="dxa" w:w="1234"/>
          </w:tcPr>
          <w:p>
            <w:r>
              <w:rPr>
                <w:sz w:val="18"/>
              </w:rPr>
              <w:t>low</w:t>
            </w:r>
          </w:p>
        </w:tc>
        <w:tc>
          <w:tcPr>
            <w:tcW w:type="dxa" w:w="1234"/>
          </w:tcPr>
          <w:p>
            <w:r>
              <w:rPr>
                <w:sz w:val="18"/>
              </w:rPr>
              <w:t>0.582</w:t>
            </w:r>
          </w:p>
        </w:tc>
        <w:tc>
          <w:tcPr>
            <w:tcW w:type="dxa" w:w="1234"/>
          </w:tcPr>
          <w:p>
            <w:r>
              <w:rPr>
                <w:sz w:val="18"/>
              </w:rPr>
              <w:t>2</w:t>
            </w:r>
          </w:p>
        </w:tc>
        <w:tc>
          <w:tcPr>
            <w:tcW w:type="dxa" w:w="1234"/>
          </w:tcPr>
          <w:p>
            <w:r>
              <w:rPr>
                <w:sz w:val="18"/>
              </w:rPr>
              <w:t>5</w:t>
            </w:r>
          </w:p>
        </w:tc>
        <w:tc>
          <w:tcPr>
            <w:tcW w:type="dxa" w:w="1234"/>
          </w:tcPr>
          <w:p>
            <w:r>
              <w:rPr>
                <w:sz w:val="18"/>
              </w:rPr>
              <w:t>2337</w:t>
            </w:r>
          </w:p>
        </w:tc>
      </w:tr>
      <w:tr>
        <w:tc>
          <w:tcPr>
            <w:tcW w:type="dxa" w:w="1234"/>
          </w:tcPr>
          <w:p>
            <w:r>
              <w:rPr>
                <w:sz w:val="18"/>
              </w:rPr>
              <w:t>rmpM</w:t>
            </w:r>
          </w:p>
        </w:tc>
        <w:tc>
          <w:tcPr>
            <w:tcW w:type="dxa" w:w="1234"/>
          </w:tcPr>
          <w:p>
            <w:r>
              <w:rPr>
                <w:sz w:val="18"/>
              </w:rPr>
              <w:t>p1631</w:t>
            </w:r>
          </w:p>
        </w:tc>
        <w:tc>
          <w:tcPr>
            <w:tcW w:type="dxa" w:w="1234"/>
          </w:tcPr>
          <w:p>
            <w:r>
              <w:rPr>
                <w:sz w:val="18"/>
              </w:rPr>
              <w:t>moderate</w:t>
            </w:r>
          </w:p>
        </w:tc>
        <w:tc>
          <w:tcPr>
            <w:tcW w:type="dxa" w:w="1234"/>
          </w:tcPr>
          <w:p>
            <w:r>
              <w:rPr>
                <w:sz w:val="18"/>
              </w:rPr>
              <w:t>0.626</w:t>
            </w:r>
          </w:p>
        </w:tc>
        <w:tc>
          <w:tcPr>
            <w:tcW w:type="dxa" w:w="1234"/>
          </w:tcPr>
          <w:p>
            <w:r>
              <w:rPr>
                <w:sz w:val="18"/>
              </w:rPr>
              <w:t>1</w:t>
            </w:r>
          </w:p>
        </w:tc>
        <w:tc>
          <w:tcPr>
            <w:tcW w:type="dxa" w:w="1234"/>
          </w:tcPr>
          <w:p>
            <w:r>
              <w:rPr>
                <w:sz w:val="18"/>
              </w:rPr>
              <w:t>5</w:t>
            </w:r>
          </w:p>
        </w:tc>
        <w:tc>
          <w:tcPr>
            <w:tcW w:type="dxa" w:w="1234"/>
          </w:tcPr>
          <w:p>
            <w:r>
              <w:rPr>
                <w:sz w:val="18"/>
              </w:rPr>
              <w:t>5413</w:t>
            </w:r>
          </w:p>
        </w:tc>
      </w:tr>
      <w:tr>
        <w:tc>
          <w:tcPr>
            <w:tcW w:type="dxa" w:w="1234"/>
          </w:tcPr>
          <w:p>
            <w:r>
              <w:rPr>
                <w:sz w:val="18"/>
              </w:rPr>
              <w:t>rmpM</w:t>
            </w:r>
          </w:p>
        </w:tc>
        <w:tc>
          <w:tcPr>
            <w:tcW w:type="dxa" w:w="1234"/>
          </w:tcPr>
          <w:p>
            <w:r>
              <w:rPr>
                <w:sz w:val="18"/>
              </w:rPr>
              <w:t>p1307</w:t>
            </w:r>
          </w:p>
        </w:tc>
        <w:tc>
          <w:tcPr>
            <w:tcW w:type="dxa" w:w="1234"/>
          </w:tcPr>
          <w:p>
            <w:r>
              <w:rPr>
                <w:sz w:val="18"/>
              </w:rPr>
              <w:t>low</w:t>
            </w:r>
          </w:p>
        </w:tc>
        <w:tc>
          <w:tcPr>
            <w:tcW w:type="dxa" w:w="1234"/>
          </w:tcPr>
          <w:p>
            <w:r>
              <w:rPr>
                <w:sz w:val="18"/>
              </w:rPr>
              <w:t>0.564</w:t>
            </w:r>
          </w:p>
        </w:tc>
        <w:tc>
          <w:tcPr>
            <w:tcW w:type="dxa" w:w="1234"/>
          </w:tcPr>
          <w:p>
            <w:r>
              <w:rPr>
                <w:sz w:val="18"/>
              </w:rPr>
              <w:t>2</w:t>
            </w:r>
          </w:p>
        </w:tc>
        <w:tc>
          <w:tcPr>
            <w:tcW w:type="dxa" w:w="1234"/>
          </w:tcPr>
          <w:p>
            <w:r>
              <w:rPr>
                <w:sz w:val="18"/>
              </w:rPr>
              <w:t>5</w:t>
            </w:r>
          </w:p>
        </w:tc>
        <w:tc>
          <w:tcPr>
            <w:tcW w:type="dxa" w:w="1234"/>
          </w:tcPr>
          <w:p>
            <w:r>
              <w:rPr>
                <w:sz w:val="18"/>
              </w:rPr>
              <w:t>1779</w:t>
            </w:r>
          </w:p>
        </w:tc>
      </w:tr>
      <w:tr>
        <w:tc>
          <w:tcPr>
            <w:tcW w:type="dxa" w:w="1234"/>
          </w:tcPr>
          <w:p>
            <w:r>
              <w:rPr>
                <w:sz w:val="18"/>
              </w:rPr>
              <w:t>lytA</w:t>
            </w:r>
          </w:p>
        </w:tc>
        <w:tc>
          <w:tcPr>
            <w:tcW w:type="dxa" w:w="1234"/>
          </w:tcPr>
          <w:p>
            <w:r>
              <w:rPr>
                <w:sz w:val="18"/>
              </w:rPr>
              <w:t>p2571</w:t>
            </w:r>
          </w:p>
        </w:tc>
        <w:tc>
          <w:tcPr>
            <w:tcW w:type="dxa" w:w="1234"/>
          </w:tcPr>
          <w:p>
            <w:r>
              <w:rPr>
                <w:sz w:val="18"/>
              </w:rPr>
              <w:t>good</w:t>
            </w:r>
          </w:p>
        </w:tc>
        <w:tc>
          <w:tcPr>
            <w:tcW w:type="dxa" w:w="1234"/>
          </w:tcPr>
          <w:p>
            <w:r>
              <w:rPr>
                <w:sz w:val="18"/>
              </w:rPr>
              <w:t>0.725</w:t>
            </w:r>
          </w:p>
        </w:tc>
        <w:tc>
          <w:tcPr>
            <w:tcW w:type="dxa" w:w="1234"/>
          </w:tcPr>
          <w:p>
            <w:r>
              <w:rPr>
                <w:sz w:val="18"/>
              </w:rPr>
              <w:t>1</w:t>
            </w:r>
          </w:p>
        </w:tc>
        <w:tc>
          <w:tcPr>
            <w:tcW w:type="dxa" w:w="1234"/>
          </w:tcPr>
          <w:p>
            <w:r>
              <w:rPr>
                <w:sz w:val="18"/>
              </w:rPr>
              <w:t>6</w:t>
            </w:r>
          </w:p>
        </w:tc>
        <w:tc>
          <w:tcPr>
            <w:tcW w:type="dxa" w:w="1234"/>
          </w:tcPr>
          <w:p>
            <w:r>
              <w:rPr>
                <w:sz w:val="18"/>
              </w:rPr>
              <w:t>5675</w:t>
            </w:r>
          </w:p>
        </w:tc>
      </w:tr>
      <w:tr>
        <w:tc>
          <w:tcPr>
            <w:tcW w:type="dxa" w:w="1234"/>
          </w:tcPr>
          <w:p>
            <w:r>
              <w:rPr>
                <w:sz w:val="18"/>
              </w:rPr>
              <w:t>lytA</w:t>
            </w:r>
          </w:p>
        </w:tc>
        <w:tc>
          <w:tcPr>
            <w:tcW w:type="dxa" w:w="1234"/>
          </w:tcPr>
          <w:p>
            <w:r>
              <w:rPr>
                <w:sz w:val="18"/>
              </w:rPr>
              <w:t>p2331</w:t>
            </w:r>
          </w:p>
        </w:tc>
        <w:tc>
          <w:tcPr>
            <w:tcW w:type="dxa" w:w="1234"/>
          </w:tcPr>
          <w:p>
            <w:r>
              <w:rPr>
                <w:sz w:val="18"/>
              </w:rPr>
              <w:t>low</w:t>
            </w:r>
          </w:p>
        </w:tc>
        <w:tc>
          <w:tcPr>
            <w:tcW w:type="dxa" w:w="1234"/>
          </w:tcPr>
          <w:p>
            <w:r>
              <w:rPr>
                <w:sz w:val="18"/>
              </w:rPr>
              <w:t>0.487</w:t>
            </w:r>
          </w:p>
        </w:tc>
        <w:tc>
          <w:tcPr>
            <w:tcW w:type="dxa" w:w="1234"/>
          </w:tcPr>
          <w:p>
            <w:r>
              <w:rPr>
                <w:sz w:val="18"/>
              </w:rPr>
              <w:t>5</w:t>
            </w:r>
          </w:p>
        </w:tc>
        <w:tc>
          <w:tcPr>
            <w:tcW w:type="dxa" w:w="1234"/>
          </w:tcPr>
          <w:p>
            <w:r>
              <w:rPr>
                <w:sz w:val="18"/>
              </w:rPr>
              <w:t>7</w:t>
            </w:r>
          </w:p>
        </w:tc>
        <w:tc>
          <w:tcPr>
            <w:tcW w:type="dxa" w:w="1234"/>
          </w:tcPr>
          <w:p>
            <w:r>
              <w:rPr>
                <w:sz w:val="18"/>
              </w:rPr>
              <w:t>98</w:t>
            </w:r>
          </w:p>
        </w:tc>
      </w:tr>
      <w:tr>
        <w:tc>
          <w:tcPr>
            <w:tcW w:type="dxa" w:w="1234"/>
          </w:tcPr>
          <w:p>
            <w:r>
              <w:rPr>
                <w:sz w:val="18"/>
              </w:rPr>
              <w:t>oprL</w:t>
            </w:r>
          </w:p>
        </w:tc>
        <w:tc>
          <w:tcPr>
            <w:tcW w:type="dxa" w:w="1234"/>
          </w:tcPr>
          <w:p>
            <w:r>
              <w:rPr>
                <w:sz w:val="18"/>
              </w:rPr>
              <w:t>p4032</w:t>
            </w:r>
          </w:p>
        </w:tc>
        <w:tc>
          <w:tcPr>
            <w:tcW w:type="dxa" w:w="1234"/>
          </w:tcPr>
          <w:p>
            <w:r>
              <w:rPr>
                <w:sz w:val="18"/>
              </w:rPr>
              <w:t>low</w:t>
            </w:r>
          </w:p>
        </w:tc>
        <w:tc>
          <w:tcPr>
            <w:tcW w:type="dxa" w:w="1234"/>
          </w:tcPr>
          <w:p>
            <w:r>
              <w:rPr>
                <w:sz w:val="18"/>
              </w:rPr>
              <w:t>0.569</w:t>
            </w:r>
          </w:p>
        </w:tc>
        <w:tc>
          <w:tcPr>
            <w:tcW w:type="dxa" w:w="1234"/>
          </w:tcPr>
          <w:p>
            <w:r>
              <w:rPr>
                <w:sz w:val="18"/>
              </w:rPr>
              <w:t>1</w:t>
            </w:r>
          </w:p>
        </w:tc>
        <w:tc>
          <w:tcPr>
            <w:tcW w:type="dxa" w:w="1234"/>
          </w:tcPr>
          <w:p>
            <w:r>
              <w:rPr>
                <w:sz w:val="18"/>
              </w:rPr>
              <w:t>5</w:t>
            </w:r>
          </w:p>
        </w:tc>
        <w:tc>
          <w:tcPr>
            <w:tcW w:type="dxa" w:w="1234"/>
          </w:tcPr>
          <w:p>
            <w:r>
              <w:rPr>
                <w:sz w:val="18"/>
              </w:rPr>
              <w:t>5941</w:t>
            </w:r>
          </w:p>
        </w:tc>
      </w:tr>
      <w:tr>
        <w:tc>
          <w:tcPr>
            <w:tcW w:type="dxa" w:w="1234"/>
          </w:tcPr>
          <w:p>
            <w:r>
              <w:rPr>
                <w:sz w:val="18"/>
              </w:rPr>
              <w:t>oprL</w:t>
            </w:r>
          </w:p>
        </w:tc>
        <w:tc>
          <w:tcPr>
            <w:tcW w:type="dxa" w:w="1234"/>
          </w:tcPr>
          <w:p>
            <w:r>
              <w:rPr>
                <w:sz w:val="18"/>
              </w:rPr>
              <w:t>p4016</w:t>
            </w:r>
          </w:p>
        </w:tc>
        <w:tc>
          <w:tcPr>
            <w:tcW w:type="dxa" w:w="1234"/>
          </w:tcPr>
          <w:p>
            <w:r>
              <w:rPr>
                <w:sz w:val="18"/>
              </w:rPr>
              <w:t>low</w:t>
            </w:r>
          </w:p>
        </w:tc>
        <w:tc>
          <w:tcPr>
            <w:tcW w:type="dxa" w:w="1234"/>
          </w:tcPr>
          <w:p>
            <w:r>
              <w:rPr>
                <w:sz w:val="18"/>
              </w:rPr>
              <w:t>0.554</w:t>
            </w:r>
          </w:p>
        </w:tc>
        <w:tc>
          <w:tcPr>
            <w:tcW w:type="dxa" w:w="1234"/>
          </w:tcPr>
          <w:p>
            <w:r>
              <w:rPr>
                <w:sz w:val="18"/>
              </w:rPr>
              <w:t>2</w:t>
            </w:r>
          </w:p>
        </w:tc>
        <w:tc>
          <w:tcPr>
            <w:tcW w:type="dxa" w:w="1234"/>
          </w:tcPr>
          <w:p>
            <w:r>
              <w:rPr>
                <w:sz w:val="18"/>
              </w:rPr>
              <w:t>5</w:t>
            </w:r>
          </w:p>
        </w:tc>
        <w:tc>
          <w:tcPr>
            <w:tcW w:type="dxa" w:w="1234"/>
          </w:tcPr>
          <w:p>
            <w:r>
              <w:rPr>
                <w:sz w:val="18"/>
              </w:rPr>
              <w:t>1623</w:t>
            </w:r>
          </w:p>
        </w:tc>
      </w:tr>
      <w:tr>
        <w:tc>
          <w:tcPr>
            <w:tcW w:type="dxa" w:w="1234"/>
          </w:tcPr>
          <w:p>
            <w:r>
              <w:rPr>
                <w:sz w:val="18"/>
              </w:rPr>
              <w:t>oprL</w:t>
            </w:r>
          </w:p>
        </w:tc>
        <w:tc>
          <w:tcPr>
            <w:tcW w:type="dxa" w:w="1234"/>
          </w:tcPr>
          <w:p>
            <w:r>
              <w:rPr>
                <w:sz w:val="18"/>
              </w:rPr>
              <w:t>p4010</w:t>
            </w:r>
          </w:p>
        </w:tc>
        <w:tc>
          <w:tcPr>
            <w:tcW w:type="dxa" w:w="1234"/>
          </w:tcPr>
          <w:p>
            <w:r>
              <w:rPr>
                <w:sz w:val="18"/>
              </w:rPr>
              <w:t>low</w:t>
            </w:r>
          </w:p>
        </w:tc>
        <w:tc>
          <w:tcPr>
            <w:tcW w:type="dxa" w:w="1234"/>
          </w:tcPr>
          <w:p>
            <w:r>
              <w:rPr>
                <w:sz w:val="18"/>
              </w:rPr>
              <w:t>0.522</w:t>
            </w:r>
          </w:p>
        </w:tc>
        <w:tc>
          <w:tcPr>
            <w:tcW w:type="dxa" w:w="1234"/>
          </w:tcPr>
          <w:p>
            <w:r>
              <w:rPr>
                <w:sz w:val="18"/>
              </w:rPr>
              <w:t>4</w:t>
            </w:r>
          </w:p>
        </w:tc>
        <w:tc>
          <w:tcPr>
            <w:tcW w:type="dxa" w:w="1234"/>
          </w:tcPr>
          <w:p>
            <w:r>
              <w:rPr>
                <w:sz w:val="18"/>
              </w:rPr>
              <w:t>5</w:t>
            </w:r>
          </w:p>
        </w:tc>
        <w:tc>
          <w:tcPr>
            <w:tcW w:type="dxa" w:w="1234"/>
          </w:tcPr>
          <w:p>
            <w:r>
              <w:rPr>
                <w:sz w:val="18"/>
              </w:rPr>
              <w:t>542</w:t>
            </w:r>
          </w:p>
        </w:tc>
      </w:tr>
      <w:tr>
        <w:tc>
          <w:tcPr>
            <w:tcW w:type="dxa" w:w="1234"/>
          </w:tcPr>
          <w:p>
            <w:r>
              <w:rPr>
                <w:sz w:val="18"/>
              </w:rPr>
              <w:t>algD</w:t>
            </w:r>
          </w:p>
        </w:tc>
        <w:tc>
          <w:tcPr>
            <w:tcW w:type="dxa" w:w="1234"/>
          </w:tcPr>
          <w:p>
            <w:r>
              <w:rPr>
                <w:sz w:val="18"/>
              </w:rPr>
              <w:t>p5178</w:t>
            </w:r>
          </w:p>
        </w:tc>
        <w:tc>
          <w:tcPr>
            <w:tcW w:type="dxa" w:w="1234"/>
          </w:tcPr>
          <w:p>
            <w:r>
              <w:rPr>
                <w:sz w:val="18"/>
              </w:rPr>
              <w:t>good</w:t>
            </w:r>
          </w:p>
        </w:tc>
        <w:tc>
          <w:tcPr>
            <w:tcW w:type="dxa" w:w="1234"/>
          </w:tcPr>
          <w:p>
            <w:r>
              <w:rPr>
                <w:sz w:val="18"/>
              </w:rPr>
              <w:t>0.738</w:t>
            </w:r>
          </w:p>
        </w:tc>
        <w:tc>
          <w:tcPr>
            <w:tcW w:type="dxa" w:w="1234"/>
          </w:tcPr>
          <w:p>
            <w:r>
              <w:rPr>
                <w:sz w:val="18"/>
              </w:rPr>
              <w:t>2</w:t>
            </w:r>
          </w:p>
        </w:tc>
        <w:tc>
          <w:tcPr>
            <w:tcW w:type="dxa" w:w="1234"/>
          </w:tcPr>
          <w:p>
            <w:r>
              <w:rPr>
                <w:sz w:val="18"/>
              </w:rPr>
              <w:t>6</w:t>
            </w:r>
          </w:p>
        </w:tc>
        <w:tc>
          <w:tcPr>
            <w:tcW w:type="dxa" w:w="1234"/>
          </w:tcPr>
          <w:p>
            <w:r>
              <w:rPr>
                <w:sz w:val="18"/>
              </w:rPr>
              <w:t>4010</w:t>
            </w:r>
          </w:p>
        </w:tc>
      </w:tr>
      <w:tr>
        <w:tc>
          <w:tcPr>
            <w:tcW w:type="dxa" w:w="1234"/>
          </w:tcPr>
          <w:p>
            <w:r>
              <w:rPr>
                <w:sz w:val="18"/>
              </w:rPr>
              <w:t>frdB</w:t>
            </w:r>
          </w:p>
        </w:tc>
        <w:tc>
          <w:tcPr>
            <w:tcW w:type="dxa" w:w="1234"/>
          </w:tcPr>
          <w:p>
            <w:r>
              <w:rPr>
                <w:sz w:val="18"/>
              </w:rPr>
              <w:t>p6922</w:t>
            </w:r>
          </w:p>
        </w:tc>
        <w:tc>
          <w:tcPr>
            <w:tcW w:type="dxa" w:w="1234"/>
          </w:tcPr>
          <w:p>
            <w:r>
              <w:rPr>
                <w:sz w:val="18"/>
              </w:rPr>
              <w:t>good</w:t>
            </w:r>
          </w:p>
        </w:tc>
        <w:tc>
          <w:tcPr>
            <w:tcW w:type="dxa" w:w="1234"/>
          </w:tcPr>
          <w:p>
            <w:r>
              <w:rPr>
                <w:sz w:val="18"/>
              </w:rPr>
              <w:t>0.727</w:t>
            </w:r>
          </w:p>
        </w:tc>
        <w:tc>
          <w:tcPr>
            <w:tcW w:type="dxa" w:w="1234"/>
          </w:tcPr>
          <w:p>
            <w:r>
              <w:rPr>
                <w:sz w:val="18"/>
              </w:rPr>
              <w:t>2</w:t>
            </w:r>
          </w:p>
        </w:tc>
        <w:tc>
          <w:tcPr>
            <w:tcW w:type="dxa" w:w="1234"/>
          </w:tcPr>
          <w:p>
            <w:r>
              <w:rPr>
                <w:sz w:val="18"/>
              </w:rPr>
              <w:t>6</w:t>
            </w:r>
          </w:p>
        </w:tc>
        <w:tc>
          <w:tcPr>
            <w:tcW w:type="dxa" w:w="1234"/>
          </w:tcPr>
          <w:p>
            <w:r>
              <w:rPr>
                <w:sz w:val="18"/>
              </w:rPr>
              <w:t>3959</w:t>
            </w:r>
          </w:p>
        </w:tc>
      </w:tr>
    </w:tbl>
    <w:p>
      <w:pPr>
        <w:spacing w:after="240"/>
      </w:pPr>
      <w:r>
        <w:rPr>
          <w:b/>
          <w:sz w:val="18"/>
        </w:rPr>
        <w:t xml:space="preserve">Table 4.8. </w:t>
      </w:r>
      <w:r>
        <w:rPr>
          <w:sz w:val="18"/>
        </w:rPr>
        <w:t>Final selection: the probes on the Pareto front of Boltz-2 confidence and anchored</w:t>
        <w:br/>
        <w:t>phosphates within λ_D in 1× PBS, by gene. “Orientations” is the number of sampled</w:t>
        <w:br/>
        <w:t>orientations retained for the probe.</w:t>
      </w:r>
    </w:p>
    <w:p>
      <w:pPr>
        <w:pStyle w:val="Heading3"/>
      </w:pPr>
      <w:r>
        <w:t>Caveats</w:t>
      </w:r>
    </w:p>
    <w:p>
      <w:r>
        <w:t>Three limitations bound the interpretation of these values. First, the rigid placement preserves the orientation predicted by Boltz-2 and is not optimised against the surface; since single-stranded DNA is known to adsorb flat on graphene through π–π stacking (Green &amp; Norton, 2015), the orientations adopted after docking or molecular dynamics will differ, and with them the exact coverage. The anchored geometry is less exposed to this objection, as it averages over orientations instead of trusting one, but it also idealises the tether: no linker length is added, so the 3' end sits as close to the sheet as it can, and the reported coverage is an upper bound. It is, besides, sensitive to the predicted position of the 3' terminus, as shown above.</w:t>
      </w:r>
    </w:p>
    <w:p>
      <w:r>
        <w:t>Second, the coverage is a geometric index derived from the Debye–H\"uckel picture, and that picture overstates the practical penalty of a concentrated buffer, as the experimental response of the same devices shows (Section 4.9). The values should therefore be used to compare candidates with one another, which is how they enter the selection, and not to predict whether a device will respond.</w:t>
      </w:r>
    </w:p>
    <w:p>
      <w:r>
        <w:t>Third, the structures themselves are predictions. The confidences of the single strands are modest (Section 4.3), and although the duplexes are predicted with high confidence and canonical geometry, no experimental structure of these probes exists against which to verify them.</w:t>
      </w:r>
    </w:p>
    <w:p>
      <w:pPr>
        <w:pStyle w:val="Heading2"/>
      </w:pPr>
      <w:r>
        <w:t>Curated dataset of prioritised candidates</w:t>
      </w:r>
    </w:p>
    <w:p>
      <w:r>
        <w:t>Finally, the same quality ranking was used to export a larger curated dataset: the top 25 probes per gene (150 probes in total), each with its sequence-level features (T_m, GC, conservation, No-fold and folding energies). This dataset extends the set of 30 probes validated in 3D to a broader, biophysically annotated selection of the highest-quality candidates per gene.</w:t>
      </w:r>
    </w:p>
    <w:p>
      <w:r>
        <w:br w:type="page"/>
      </w:r>
    </w:p>
    <w:p>
      <w:pPr>
        <w:pStyle w:val="Heading1"/>
      </w:pPr>
      <w:r>
        <w:t>Conclusions and Future Work</w:t>
      </w:r>
    </w:p>
    <w:p>
      <w:pPr>
        <w:pStyle w:val="Heading2"/>
      </w:pPr>
      <w:r>
        <w:t>Conclusions</w:t>
      </w:r>
    </w:p>
    <w:p>
      <w:r>
        <w:t>This dissertation set out to design, in silico, high-quality ssDNA capture probes for GFET biosensors targeting a panel of clinically relevant bacterial pathogens. The main outcome is a single, reproducible computational pipeline that turns a target gene into a small set of ranked, biophysically validated probe candidates, with every design decision grounded in the literature.</w:t>
      </w:r>
    </w:p>
    <w:p>
      <w:r>
        <w:t>The pipeline integrates, in one automated workflow, the stages that are usually performed separately or by hand: retrieval and curation of sequences from NCBI, automatic length clustering, multiple sequence alignment and PPI-based conservation scoring, nearest-neighbour thermodynamic screening, secondary-structure evaluation with a continuous No-fold score, and a final three-dimensional validation with Boltz-2. Two design choices give the method its generality and rigour. First, thresholds are resolved through a layered, organism-aware scheme (gene → species → type →  global), so that pathogens with very different genome composition are judged by fair criteria; this was shown to recover candidates — such as AT-rich probes — that a single global rule would wrongly discard. Second, candidates are prioritised by a transparent quality score combining conservation and the No-fold score, which concentrates the expensive 3D validation on the most promising sequences.</w:t>
      </w:r>
    </w:p>
    <w:p>
      <w:r>
        <w:t>Applied to the six-gene panel, with every thermodynamic quantity computed in 1× PBS at 37°C — the buffer whose ionic composition is closest to that of physiological fluids — the pipeline reduced 7661 candidate windows to 2439 that passed screening, from which the five best candidates per gene were carried into three-dimensional prediction. Alignment-free diversity and rarefaction analyses characterised each target and justified the sampling depth in a principled, non-arbitrary way. An existing experimental probe panel was folded into the same workflow and scored with identical metrics, enabling a direct comparison, and a curated 150-probe dataset of the highest-quality candidates per gene was produced. Screening in the reference buffer proved to be more than a change of units: it altered which candidates survive, and it is what gives the melting temperature, hairpin and homodimer thresholds a defensible meaning, since they then refer to the solution in which the probes are meant to work.</w:t>
      </w:r>
    </w:p>
    <w:p>
      <w:r>
        <w:t>The selected probes were predicted with Boltz-2 both as single strands and as duplexes with their complementary targets, and assembled with a graphene sheet into atomistic models of the sensing interface, using a pristine layer built with GOPY and a placement set at the equilibrium physisorption distance reported for nucleobases on graphene. All 30 models are free of steric clashes. Three findings follow from them.</w:t>
      </w:r>
    </w:p>
    <w:p>
      <w:r>
        <w:t>First, the three-dimensional prediction is not a restatement of the sequence ranking: across the 30 probes its confidence is uncorrelated with the quality score used to select them (r = -0.01), with the conservation and with the No-fold score. Second, the fraction of each probe within the Debye length is likewise uncorrelated with that confidence, and it varies widely across the panel — from 2.3 to 14.2% at physiological ionic strength and from 23 to 98% in tenfold-diluted buffer. Interface geometry is therefore an independent axis of probe quality, and the final selection was accordingly made on the Pareto front of the two criteria, retaining 11 of the 30 probes, between one and three per gene. Modelling the probe as it is actually immobilised, tethered by its 3' end, also revealed a limitation of that criterion: the charge it places within the Debye length depends strongly on where the 3' terminus lies in the predicted conformation (r = -0.89 against the number of admissible orientations), so the probes the criterion favours are also those whose estimate rests on the fewest sampled orientations. Third, modelling the hybridised state showed that at physiological ionic strength the median number of target phosphates inside the Debye length is zero for every probe of the panel: the detectable charge is set by the screening length and the geometry of the duplex, not by the length of the probe. This is a limitation of the transduction rather than of these particular sequences, and it is consistent with the experimental observation that such devices still detect hybridisation in 1× PBS, at roughly half the sensitivity obtained in dilute buffer.</w:t>
      </w:r>
    </w:p>
    <w:p>
      <w:r>
        <w:t>Overall, the work delivers a solid, extensible foundation for the computational stage of GFET biosensor development: it produces prioritised, structurally sound probe candidates, under conditions that match the intended application, and generalises to new genes and organisms with minimal configuration.</w:t>
      </w:r>
    </w:p>
    <w:p>
      <w:pPr>
        <w:pStyle w:val="Heading2"/>
      </w:pPr>
      <w:r>
        <w:t>Prospects for future work</w:t>
      </w:r>
    </w:p>
    <w:p>
      <w:r>
        <w:t>Several directions follow naturally from this work:</w:t>
      </w:r>
    </w:p>
    <w:p>
      <w:pPr>
        <w:pStyle w:val="ListBullet"/>
      </w:pPr>
      <w:r>
        <w:t>Experimental validation. The ultimate test of the designed probes is their performance on fabricated GFET devices; the ranked shortlist provides the immediate candidates for functionalisation and characterisation.</w:t>
      </w:r>
    </w:p>
    <w:p>
      <w:pPr>
        <w:pStyle w:val="ListBullet"/>
      </w:pPr>
      <w:r>
        <w:t>Specificity screening. Adding an automated specificity check (for example a BLAST step against non-target genomes and the host) would complement the current conservation-driven, sensitivity-oriented selection.</w:t>
      </w:r>
    </w:p>
    <w:p>
      <w:pPr>
        <w:pStyle w:val="ListBullet"/>
      </w:pPr>
      <w:r>
        <w:t>Refinement of the interface models. The assembled models are starting geometries. Molecular docking and force-field refinement would relax the probe against the surface and replace the orientation sampling used here by energetically weighted poses, from which the Debye coverage could be recomputed.</w:t>
      </w:r>
    </w:p>
    <w:p>
      <w:pPr>
        <w:pStyle w:val="ListBullet"/>
      </w:pPr>
      <w:r>
        <w:t>Data-driven modelling. The curated feature dataset opens the way to a machine- learning model that predicts probe quality directly, potentially accelerating or refining the ranking.</w:t>
      </w:r>
    </w:p>
    <w:p>
      <w:pPr>
        <w:pStyle w:val="ListBullet"/>
      </w:pPr>
      <w:r>
        <w:t>Broader panels. As the framework already supports viral, fungal, protozoan and host profiles, extending the panel to further genes and non-bacterial pathogens is largely a matter of configuration.</w:t>
      </w:r>
    </w:p>
    <w:p>
      <w:r>
        <w:br w:type="page"/>
      </w:r>
    </w:p>
    <w:p>
      <w:pPr>
        <w:pStyle w:val="Heading1"/>
      </w:pPr>
      <w:r>
        <w:t>References</w:t>
      </w:r>
    </w:p>
    <w:p>
      <w:pPr>
        <w:spacing w:after="120"/>
        <w:ind w:left="576" w:hanging="576"/>
      </w:pPr>
      <w:r>
        <w:t>Abramson, J.; Adler, J.; Dunger, J.; others (2024). Accurate Structure Prediction of Biomolecular Interactions with AlphaFold 3. Nature, 630(8016), 493–500. https://doi.org/10.1038/s41586-024-07487-w</w:t>
      </w:r>
    </w:p>
    <w:p>
      <w:pPr>
        <w:spacing w:after="120"/>
        <w:ind w:left="576" w:hanging="576"/>
      </w:pPr>
      <w:r>
        <w:t>Bhattacharyya, I. M.; Shalev, G. (2020). Electrostatically Governed Debye Screening Length at the Solution-Solid Interface for Biosensing Applications. ACS Sensors, 5(1), 154–161. https://doi.org/10.1021/acssensors.9b01939</w:t>
      </w:r>
    </w:p>
    <w:p>
      <w:pPr>
        <w:spacing w:after="120"/>
        <w:ind w:left="576" w:hanging="576"/>
      </w:pPr>
      <w:r>
        <w:t>Brakstad, O. G.; Aasbakk, K.; Maeland, J. A. (1992). Detection of emphStaphylococcus aureus by Polymerase Chain Reaction Amplification of the emphnuc Gene. Journal of Clinical Microbiology, 30(7), 1654–1660. https://doi.org/10.1128/jcm.30.7.1654-1660.1992</w:t>
      </w:r>
    </w:p>
    <w:p>
      <w:pPr>
        <w:spacing w:after="120"/>
        <w:ind w:left="576" w:hanging="576"/>
      </w:pPr>
      <w:r>
        <w:t>Campos, R.; Borme, J.; Guerreiro, J. R.; Machado Jr., G.; Cerqueira, M. F.; Petrovykh, D. Y.; Alpuim, P. (2019). Attomolar Label-Free Detection of DNA Hybridization with Electrolyte-Gated Graphene Field-Effect Transistors. ACS Sensors, 4(2), 286–293. https://doi.org/10.1021/acssensors.8b00344</w:t>
      </w:r>
    </w:p>
    <w:p>
      <w:pPr>
        <w:spacing w:after="120"/>
        <w:ind w:left="576" w:hanging="576"/>
      </w:pPr>
      <w:r>
        <w:t>Carvalho, M. d. G. S.; Tondella, M. L.; McCaustland, K.; others (2007). Evaluation and Improvement of Real-Time PCR Assays Targeting emphlytA, emphply, and emphpsaA Genes for Detection of Pneumococcal DNA. Journal of Clinical Microbiology, 45(8), 2460–2466. https://doi.org/10.1128/JCM.02498-06</w:t>
      </w:r>
    </w:p>
    <w:p>
      <w:pPr>
        <w:spacing w:after="120"/>
        <w:ind w:left="576" w:hanging="576"/>
      </w:pPr>
      <w:r>
        <w:t>Cock, P. J. A.; Antao, T.; Chang, J. T.; Chapman, B. A.; Cox, C. J.; Dalke, A.; Friedberg, I.; Hamelryck, T.; Kauff, F.; Wilczynski, B.; de Hoon, M. J. L. (2009). Biopython: Freely Available Python Tools for Computational Molecular Biology and Bioinformatics. Bioinformatics, 25(11), 1422–1423. https://doi.org/10.1093/bioinformatics/btp163</w:t>
      </w:r>
    </w:p>
    <w:p>
      <w:pPr>
        <w:spacing w:after="120"/>
        <w:ind w:left="576" w:hanging="576"/>
      </w:pPr>
      <w:r>
        <w:t>De Vos, D.; Lim Jr., A.; Pirnay, J. -.; Struelens, M.; Vandenvelde, C.; Duinslaeger, L.; Vanderkelen, A.; Cornelis, P. (1997). Direct Detection and Identification of emphPseudomonas aeruginosa in Clinical Samples Such as Skin Biopsy Specimens and Expectorations by Multiplex PCR Based on Two Outer Membrane Lipoprotein Genes, emphoprI and emphoprL. Journal of Clinical Microbiology, 35(6), 1295–1299. https://doi.org/10.1128/jcm.35.6.1295-1299.1997</w:t>
      </w:r>
    </w:p>
    <w:p>
      <w:pPr>
        <w:spacing w:after="120"/>
        <w:ind w:left="576" w:hanging="576"/>
      </w:pPr>
      <w:r>
        <w:t>Ellington, A. D.; Szostak, J. W. (1990). In Vitro Selection of RNA Molecules That Bind Specific Ligands. Nature, 346(6287), 818–822. https://doi.org/10.1038/346818a0</w:t>
      </w:r>
    </w:p>
    <w:p>
      <w:pPr>
        <w:spacing w:after="120"/>
        <w:ind w:left="576" w:hanging="576"/>
      </w:pPr>
      <w:r>
        <w:t>Gao, N.; Zhou, W.; Jiang, X.; Hong, G.; Fu, T.; Lieber, C. M. (2015). General Strategy for Biodetection in High Ionic Strength Solutions Using Transistor-Based Nanoelectronic Sensors. Nano Letters, 15(3), 2143–2148. https://doi.org/10.1021/acs.nanolett.5b00133</w:t>
      </w:r>
    </w:p>
    <w:p>
      <w:pPr>
        <w:spacing w:after="120"/>
        <w:ind w:left="576" w:hanging="576"/>
      </w:pPr>
      <w:r>
        <w:t>Gao, N.; Gao, T.; Yang, X.; Dai, X.; Zhou, W.; Zhang, A.; Lieber, C. M. (2016). Specific Detection of Biomolecules in Physiological Solutions Using Graphene Transistor Biosensors. Proceedings of the National Academy of Sciences, 113(51), 14633–14638. https://doi.org/10.1073/pnas.1625010114</w:t>
      </w:r>
    </w:p>
    <w:p>
      <w:pPr>
        <w:spacing w:after="120"/>
        <w:ind w:left="576" w:hanging="576"/>
      </w:pPr>
      <w:r>
        <w:t>Gardner, M. J.; Hall, N.; Fung, E.; others (2002). Genome Sequence of the Human Malaria Parasite emphPlasmodium falciparum. Nature, 419(6906), 498–511. https://doi.org/10.1038/nature01097</w:t>
      </w:r>
    </w:p>
    <w:p>
      <w:pPr>
        <w:spacing w:after="120"/>
        <w:ind w:left="576" w:hanging="576"/>
      </w:pPr>
      <w:r>
        <w:t>Green, N. S.; Norton, M. L. (2015). Interactions of DNA with Graphene and Sensing Applications of Graphene Field-Effect Transistor Devices: A Review. Analytica Chimica Acta, 853, 127–142. https://doi.org/10.1016/j.aca.2014.10.023</w:t>
      </w:r>
    </w:p>
    <w:p>
      <w:pPr>
        <w:spacing w:after="120"/>
        <w:ind w:left="576" w:hanging="576"/>
      </w:pPr>
      <w:r>
        <w:t>Hu, C.; Yang, S.; Li, S.; Liu, X.; Liu, Y.; Chen, Z.; Chen, H.; Li, S.; He, N.; Cui, H.; Deng, Y. (2024). Viral Aptamer Screening and Aptamer-Based Biosensors for Virus Detection: A Review. International Journal of Biological Macromolecules, 276, 133935. https://doi.org/10.1016/j.ijbiomac.2024.133935</w:t>
      </w:r>
    </w:p>
    <w:p>
      <w:pPr>
        <w:spacing w:after="120"/>
        <w:ind w:left="576" w:hanging="576"/>
      </w:pPr>
      <w:r>
        <w:t>Hwang, M. T.; Heiranian, M.; Kim, Y.; You, S.; Leem, J.; Taqieddin, A.; Faramarzi, V.; Jing, Y.; Park, I.; van der Zande, A. M.; Nam, S.; Aluru, N. R.; Bashir, R. (2020). Ultrasensitive Detection of Nucleic Acids Using Deformed Graphene Channel Field Effect Biosensors. Nature Communications, 11, 1543. https://doi.org/10.1038/s41467-020-15330-9</w:t>
      </w:r>
    </w:p>
    <w:p>
      <w:pPr>
        <w:spacing w:after="120"/>
        <w:ind w:left="576" w:hanging="576"/>
      </w:pPr>
      <w:r>
        <w:t>Jumper, J.; Evans, R.; Pritzel, A.; others (2021). Highly Accurate Protein Structure Prediction with AlphaFold. Nature, 596(7873), 583–589. https://doi.org/10.1038/s41586-021-03819-2</w:t>
      </w:r>
    </w:p>
    <w:p>
      <w:pPr>
        <w:spacing w:after="120"/>
        <w:ind w:left="576" w:hanging="576"/>
      </w:pPr>
      <w:r>
        <w:t>Katoh, K.; Standley, D. M. (2013). MAFFT Multiple Sequence Alignment Software Version 7: Improvements in Performance and Usability. Molecular Biology and Evolution, 30(4), 772–780. https://doi.org/10.1093/molbev/mst010</w:t>
      </w:r>
    </w:p>
    <w:p>
      <w:pPr>
        <w:spacing w:after="120"/>
        <w:ind w:left="576" w:hanging="576"/>
      </w:pPr>
      <w:r>
        <w:t>Kesler, V.; Murmann, B.; Soh, H. T. (2020). Going beyond the Debye Length: Overcoming Charge Screening Limitations in Next-Generation Bioelectronic Sensors. ACS Nano, 14(12), 16194–16201. https://doi.org/10.1021/acsnano.0c08622</w:t>
      </w:r>
    </w:p>
    <w:p>
      <w:pPr>
        <w:spacing w:after="120"/>
        <w:ind w:left="576" w:hanging="576"/>
      </w:pPr>
      <w:r>
        <w:t>Kolm, C.; Cervenka, I.; Aschl, U. J.; Baumann, N.; Jakwerth, S.; Krska, R.; Mach, R. L.; Sommer, R.; DeRosa, M. C.; Kirschner, A. K. T.; Farnleitner, A. H.; Reischer, G. H. (2020). DNA Aptamers Against Bacterial Cells Can Be Efficiently Selected by a SELEX Process Using State-of-the-Art qPCR and Ultra-Deep Sequencing. Scientific Reports, 10, 20917. https://doi.org/10.1038/s41598-020-77221-9</w:t>
      </w:r>
    </w:p>
    <w:p>
      <w:pPr>
        <w:spacing w:after="120"/>
        <w:ind w:left="576" w:hanging="576"/>
      </w:pPr>
      <w:r>
        <w:t>Kozel, T. R.; Burnham-Marusich, A. R. (2017). Point-of-Care Testing for Infectious Diseases: Past, Present, and Future. Journal of Clinical Microbiology, 55(8), 2313–2320. https://doi.org/10.1128/JCM.00476-17</w:t>
      </w:r>
    </w:p>
    <w:p>
      <w:pPr>
        <w:spacing w:after="120"/>
        <w:ind w:left="576" w:hanging="576"/>
      </w:pPr>
      <w:r>
        <w:t>Krishnan, S. K.; Nataraj, N.; Meyyappan, M.; Pal, U. (2023). Graphene-Based Field-Effect Transistors in Biosensing and Neural Interfacing Applications: Recent Advances and Prospects. Analytical Chemistry, 95(5), 2590–2622. https://doi.org/10.1021/acs.analchem.2c03399</w:t>
      </w:r>
    </w:p>
    <w:p>
      <w:pPr>
        <w:spacing w:after="120"/>
        <w:ind w:left="576" w:hanging="576"/>
      </w:pPr>
      <w:r>
        <w:t>Lee, J.; Choi, Y.; Kim, H.; Scheicher, R. H.; Cho, J. (2013). Physisorption of DNA Nucleobases on h-BN and Graphene: vdW-Corrected DFT Calculations. The Journal of Physical Chemistry C, 117(26), 13435–13441. https://doi.org/10.1021/jp402403f</w:t>
      </w:r>
    </w:p>
    <w:p>
      <w:pPr>
        <w:spacing w:after="120"/>
        <w:ind w:left="576" w:hanging="576"/>
      </w:pPr>
      <w:r>
        <w:t>Lima, A. (2023). ViruScope: Conservation (PPI) and No-Fold Scoring for Nucleic Acid Probe Design. urlhttps://github.com/anasfplima/ViruScope.</w:t>
      </w:r>
    </w:p>
    <w:p>
      <w:pPr>
        <w:spacing w:after="120"/>
        <w:ind w:left="576" w:hanging="576"/>
      </w:pPr>
      <w:r>
        <w:t>Lu, C.; Yang, H.; Zhu, C.; Chen, X.; Chen, G. (2009). A Graphene Platform for Sensing Biomolecules. Angewandte Chemie International Edition, 48(26), 4785–4787. https://doi.org/10.1002/anie.200901479</w:t>
      </w:r>
    </w:p>
    <w:p>
      <w:pPr>
        <w:spacing w:after="120"/>
        <w:ind w:left="576" w:hanging="576"/>
      </w:pPr>
      <w:r>
        <w:t>Muraru, S.; Burns, J. S.; Ioniţă, M. (2020). GOPY: A Tool for Building 2D Graphene-Based Computational Models. SoftwareX, 12, 100586. https://doi.org/10.1016/j.softx.2020.100586</w:t>
      </w:r>
    </w:p>
    <w:p>
      <w:pPr>
        <w:spacing w:after="120"/>
        <w:ind w:left="576" w:hanging="576"/>
      </w:pPr>
      <w:r>
        <w:t>Murray, C. J. L.; Ikuta, K. S.; Sharara, F.; others (2022). Global Burden of Bacterial Antimicrobial Resistance in 2019: A Systematic Analysis. The Lancet, 399(10325), 629–655. https://doi.org/10.1016/S0140-6736(21)02724-0</w:t>
      </w:r>
    </w:p>
    <w:p>
      <w:pPr>
        <w:spacing w:after="120"/>
        <w:ind w:left="576" w:hanging="576"/>
      </w:pPr>
      <w:r>
        <w:t>Nakatsuka, N.; Yang, K.; Abendroth, J. M.; others (2018). Aptamer--Field-Effect Transistors Overcome Debye Length Limitations for Small-Molecule Sensing. Science, 362(6412), 319–324. https://doi.org/10.1126/science.aao6750</w:t>
      </w:r>
    </w:p>
    <w:p>
      <w:pPr>
        <w:spacing w:after="120"/>
        <w:ind w:left="576" w:hanging="576"/>
      </w:pPr>
      <w:r>
        <w:t>Nierman, W. C.; Pain, A.; Anderson, M. J.; others (2005). Genomic Sequence of the Pathogenic and Allergenic Filamentous Fungus emphAspergillus fumigatus Af293. Nature, 438(7071), 1151–1156. https://doi.org/10.1038/nature04332</w:t>
      </w:r>
    </w:p>
    <w:p>
      <w:pPr>
        <w:spacing w:after="120"/>
        <w:ind w:left="576" w:hanging="576"/>
      </w:pPr>
      <w:r>
        <w:t>Novoselov, K. S.; Geim, A. K.; Morozov, S. V.; Jiang, D.; Zhang, Y.; Dubonos, S. V.; Grigorieva, I. V.; Firsov, A. A. (2004). Electric Field Effect in Atomically Thin Carbon Films. Science, 306(5696), 666–669. https://doi.org/10.1126/science.1102896</w:t>
      </w:r>
    </w:p>
    <w:p>
      <w:pPr>
        <w:spacing w:after="120"/>
        <w:ind w:left="576" w:hanging="576"/>
      </w:pPr>
      <w:r>
        <w:t>Obregón, V.; García, P.; García, E.; Fenoll, A.; López, R.; García, J. L. (2002). Molecular Peculiarities of the emphlytA Gene Isolated from Clinical Pneumococcal Strains That Are Bile Insoluble. Journal of Clinical Microbiology, 40(7), 2545–2554. https://doi.org/10.1128/JCM.40.7.2545-2554.2002</w:t>
      </w:r>
    </w:p>
    <w:p>
      <w:pPr>
        <w:spacing w:after="120"/>
        <w:ind w:left="576" w:hanging="576"/>
      </w:pPr>
      <w:r>
        <w:t>Organization, W. H. (2024). WHO Bacterial Priority Pathogens List, 2024.</w:t>
      </w:r>
    </w:p>
    <w:p>
      <w:pPr>
        <w:spacing w:after="120"/>
        <w:ind w:left="576" w:hanging="576"/>
      </w:pPr>
      <w:r>
        <w:t>Ping, J.; Vishnubhotla, R.; Vrudhula, A.; Johnson, A. T. C. (2016). Scalable Production of High-Sensitivity, Label-Free DNA Biosensors Based on Back-Gated Graphene Field-Effect Transistors. ACS Nano, 10(9), 8700–8704. https://doi.org/10.1021/acsnano.6b04110</w:t>
      </w:r>
    </w:p>
    <w:p>
      <w:pPr>
        <w:spacing w:after="120"/>
        <w:ind w:left="576" w:hanging="576"/>
      </w:pPr>
      <w:r>
        <w:t>Protocols, C. S. H. (2006). Phosphate-Buffered Saline (PBS). Cold Spring Harbor Protocols, 2006(1), pdb.rec8247. https://doi.org/10.1101/pdb.rec8247</w:t>
      </w:r>
    </w:p>
    <w:p>
      <w:pPr>
        <w:spacing w:after="120"/>
        <w:ind w:left="576" w:hanging="576"/>
      </w:pPr>
      <w:r>
        <w:t>Purwidyantri, A.; Domingues, T.; Borme, J.; Guerreiro, J. R.; Ipatov, A.; Abreu, C. M.; Martins, M.; Alpuim, P.; Prado, M. (2021). Influence of the Electrolyte Salt Concentration on DNA Detection with Graphene Transistors. Biosensors, 11(1), 24. https://doi.org/10.3390/bios11010024</w:t>
      </w:r>
    </w:p>
    <w:p>
      <w:pPr>
        <w:spacing w:after="120"/>
        <w:ind w:left="576" w:hanging="576"/>
      </w:pPr>
      <w:r>
        <w:t>Purwidyantri, A.; Ipatov, A.; Domingues, T.; Borme, J.; Martins, M.; Alpuim, P.; Prado, M. (2022). Programmable Graphene-Based Microfluidic Sensor for DNA Detection. Sensors and Actuators B: Chemical, 367, 132044. https://doi.org/10.1016/j.snb.2022.132044</w:t>
      </w:r>
    </w:p>
    <w:p>
      <w:pPr>
        <w:spacing w:after="120"/>
        <w:ind w:left="576" w:hanging="576"/>
      </w:pPr>
      <w:r>
        <w:t>SantaLucia Jr., J.; Hicks, D. (2004). The Thermodynamics of DNA Structural Motifs. Annual Review of Biophysics and Biomolecular Structure, 33, 415–440. https://doi.org/10.1146/annurev.biophys.32.110601.141800</w:t>
      </w:r>
    </w:p>
    <w:p>
      <w:pPr>
        <w:spacing w:after="120"/>
        <w:ind w:left="576" w:hanging="576"/>
      </w:pPr>
      <w:r>
        <w:t>Schedin, F.; Geim, A. K.; Morozov, S. V.; Hill, E. W.; Blake, P.; Katsnelson, M. I.; Novoselov, K. S. (2007). Detection of Individual Gas Molecules Adsorbed on Graphene. Nature Materials, 6(9), 652–655. https://doi.org/10.1038/nmat1967</w:t>
      </w:r>
    </w:p>
    <w:p>
      <w:pPr>
        <w:spacing w:after="120"/>
        <w:ind w:left="576" w:hanging="576"/>
      </w:pPr>
      <w:r>
        <w:t>Stephens, C.; Goodey, N. M.; Gubler, U. (2025). A Beginner's Guide to SELEX and DNA Aptamers. Analytical Biochemistry, 703, 115890. https://doi.org/10.1016/j.ab.2025.115890</w:t>
      </w:r>
    </w:p>
    <w:p>
      <w:pPr>
        <w:spacing w:after="120"/>
        <w:ind w:left="576" w:hanging="576"/>
      </w:pPr>
      <w:r>
        <w:t>Stover, C. K.; Pham, X. Q.; Erwin, A. L.; Mizoguchi, S. D.; others (2000). Complete Genome Sequence of emphPseudomonas aeruginosa PAO1, an Opportunistic Pathogen. Nature, 406(6799), 959–964. https://doi.org/10.1038/35023079</w:t>
      </w:r>
    </w:p>
    <w:p>
      <w:pPr>
        <w:spacing w:after="120"/>
        <w:ind w:left="576" w:hanging="576"/>
      </w:pPr>
      <w:r>
        <w:t>Sun, D.; Sun, M.; Zhang, J.; Lin, X.; Zhang, Y.; Lin, F.; Zhang, P.; Yang, C.; Song, J. (2022). Computational Tools for Aptamer Identification and Optimization. TrAC Trends in Analytical Chemistry, 157, 116767. https://doi.org/10.1016/j.trac.2022.116767</w:t>
      </w:r>
    </w:p>
    <w:p>
      <w:pPr>
        <w:spacing w:after="120"/>
        <w:ind w:left="576" w:hanging="576"/>
      </w:pPr>
      <w:r>
        <w:t>Tayo, B. O.; Walkup, M. A.; Caliskan, S. (2023). Adsorption of DNA Nucleobases on Single-Layer Ti₃C₂ MXene and Graphene: vdW-Corrected DFT and NEGF Studies. AIP Advances, 13(8), 085213. https://doi.org/10.1063/5.0160784</w:t>
      </w:r>
    </w:p>
    <w:p>
      <w:pPr>
        <w:spacing w:after="120"/>
        <w:ind w:left="576" w:hanging="576"/>
      </w:pPr>
      <w:r>
        <w:t>Technologies, I. D. (n.d.). OligoAnalyzer Tool. urlhttps://www.idtdna.com/pages/tools/oligoanalyzer.</w:t>
      </w:r>
    </w:p>
    <w:p>
      <w:pPr>
        <w:spacing w:after="120"/>
        <w:ind w:left="576" w:hanging="576"/>
      </w:pPr>
      <w:r>
        <w:t>Timmons, J. (2020). seqfold: Nucleic Acid Secondary Structure Prediction in Python. urlhttps://github.com/Lattice-Automation/seqfold.</w:t>
      </w:r>
    </w:p>
    <w:p>
      <w:pPr>
        <w:spacing w:after="120"/>
        <w:ind w:left="576" w:hanging="576"/>
      </w:pPr>
      <w:r>
        <w:t>Tuerk, C.; Gold, L. (1990). Systematic Evolution of Ligands by Exponential Enrichment: RNA Ligands to Bacteriophage T4 DNA Polymerase. Science, 249(4968), 505–510. https://doi.org/10.1126/science.2200121</w:t>
      </w:r>
    </w:p>
    <w:p>
      <w:pPr>
        <w:spacing w:after="120"/>
        <w:ind w:left="576" w:hanging="576"/>
      </w:pPr>
      <w:r>
        <w:t>Turner, D. H.; Mathews, D. H. (2010). NNDB: The Nearest Neighbor Parameter Database for Predicting Stability of Nucleic Acid Secondary Structure. Nucleic Acids Research, 38(suppl 1), D280–D282. https://doi.org/10.1093/nar/gkp892</w:t>
      </w:r>
    </w:p>
    <w:p>
      <w:pPr>
        <w:spacing w:after="120"/>
        <w:ind w:left="576" w:hanging="576"/>
      </w:pPr>
      <w:r>
        <w:t>Untergasser, A.; Cutcutache, I.; Koressaar, T.; Ye, J.; Faircloth, B. C.; Remm, M.; Rozen, S. G. (2012). Primer3---New Capabilities and Interfaces. Nucleic Acids Research, 40(15), e115. https://doi.org/10.1093/nar/gks596</w:t>
      </w:r>
    </w:p>
    <w:p>
      <w:pPr>
        <w:spacing w:after="120"/>
        <w:ind w:left="576" w:hanging="576"/>
      </w:pPr>
      <w:r>
        <w:t>Watson, J. D.; Crick, F. H. C. (1953). Molecular Structure of Nucleic Acids: A Structure for Deoxyribose Nucleic Acid. Nature, 171(4356), 737–738. https://doi.org/10.1038/171737a0</w:t>
      </w:r>
    </w:p>
    <w:p>
      <w:pPr>
        <w:spacing w:after="120"/>
        <w:ind w:left="576" w:hanging="576"/>
      </w:pPr>
      <w:r>
        <w:t>Wetmur, J. G. (1991). DNA Probes: Applications of the Principles of Nucleic Acid Hybridization. Critical Reviews in Biochemistry and Molecular Biology, 26(3-4), 227–259. https://doi.org/10.3109/10409239109114069</w:t>
      </w:r>
    </w:p>
    <w:p>
      <w:pPr>
        <w:spacing w:after="120"/>
        <w:ind w:left="576" w:hanging="576"/>
      </w:pPr>
      <w:r>
        <w:t>Wohlwend, J.; Corso, G.; Passaro, S.; others (2024). Boltz-1: Democratizing Biomolecular Interaction Modeling. bioRxiv. https://doi.org/10.1101/2024.11.19.624167</w:t>
      </w:r>
    </w:p>
    <w:p>
      <w:pPr>
        <w:spacing w:after="120"/>
        <w:ind w:left="576" w:hanging="576"/>
      </w:pPr>
      <w:r>
        <w:t>Zadeh, J. N.; Steenberg, C. D.; Bois, J. S.; Wolfe, B. R.; Pierce, M. B.; Khan, A. R.; Dirks, R. M.; Pierce, N. A. (2011). NUPACK: Analysis and Design of Nucleic Acid Systems. Journal of Computational Chemistry, 32(1), 170–173. https://doi.org/10.1002/jcc.21596</w:t>
      </w:r>
    </w:p>
    <w:p>
      <w:pPr>
        <w:spacing w:after="120"/>
        <w:ind w:left="576" w:hanging="576"/>
      </w:pPr>
      <w:r>
        <w:t>Zhu, Y.; Cai, Y.; Xu, L.; Zheng, L.; Wang, L.; Qi, B.; Xu, C. (2015). Building an Aptamer/Graphene Oxide FRET Biosensor for One-Step Detection of Bisphenol A. ACS Applied Materials &amp; Interfaces, 7(14), 7492–7496. https://doi.org/10.1021/acsami.5b00199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