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Pipeline Computacional para Design de Probes DNA</w:t>
        <w:br/>
        <w:t>para Biossensores GFET</w:t>
      </w:r>
    </w:p>
    <w:p>
      <w:pPr>
        <w:jc w:val="center"/>
      </w:pPr>
      <w:r>
        <w:rPr>
          <w:b/>
          <w:i/>
        </w:rPr>
        <w:t>Documentação Técnica</w:t>
      </w:r>
    </w:p>
    <w:p>
      <w:pPr>
        <w:jc w:val="center"/>
      </w:pPr>
      <w:r>
        <w:t>Universidade do Minho  ·  PG45861  ·  2025–2026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Introdução e Objectivos</w:t>
      </w:r>
    </w:p>
    <w:p>
      <w:pPr>
        <w:spacing w:after="120"/>
      </w:pPr>
      <w:r>
        <w:t>Este documento descreve o pipeline computacional implementado em Python para o design in silico de sondas oligonucleotídicas (probes) destinadas a biossensores de efeito de campo em grafeno (GFET — Graphene Field-Effect Transistor). O objectivo central é identificar, de entre um universo de sequências genómicas disponíveis no NCBI, as regiões mais conservadas de cada gene-alvo e seleccionar candidatos a probe com propriedades termodinâmicas favoráveis à hibridação específica no contexto GFET.</w:t>
      </w:r>
    </w:p>
    <w:p>
      <w:pPr>
        <w:spacing w:after="120"/>
      </w:pPr>
      <w:r>
        <w:t>A pipeline integra seis fases principais: (1) aquisição automática de sequências do NCBI, (2) alinhamento múltiplo com MAFFT, (3) análise de conservação e extracção de janelas candidatas, (4) scoring termodinâmico básico com primer3-py, (5) análise de estrutura secundária com seqfold e (6) predição estrutural 3D com Boltz-2. O resultado final é um ficheiro CSV consolidado com todas as probes scored e filtradas, incluindo as probes da literatura (Beatriz et al.).</w:t>
      </w:r>
    </w:p>
    <w:p>
      <w:pPr>
        <w:pStyle w:val="Heading1"/>
      </w:pPr>
      <w:r>
        <w:rPr>
          <w:color w:val="1F497D"/>
        </w:rPr>
        <w:t>2. Genes-Alvo</w:t>
      </w:r>
    </w:p>
    <w:p>
      <w:pPr>
        <w:spacing w:after="120"/>
      </w:pPr>
      <w:r>
        <w:t>O pipeline cobre seis genes marcadores de relevância clínica, distribuídos em dois grupos de acordo com a prioridade de validação experimental.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Organismo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Relevância clínica</w:t>
            </w:r>
          </w:p>
        </w:tc>
      </w:tr>
      <w:tr>
        <w:tc>
          <w:tcPr>
            <w:tcW w:type="dxa" w:w="2280"/>
          </w:tcPr>
          <w:p>
            <w:r>
              <w:t>nuc</w:t>
            </w:r>
          </w:p>
        </w:tc>
        <w:tc>
          <w:tcPr>
            <w:tcW w:type="dxa" w:w="2280"/>
          </w:tcPr>
          <w:p>
            <w:r>
              <w:t>Staphylococcus aureus</w:t>
            </w:r>
          </w:p>
        </w:tc>
        <w:tc>
          <w:tcPr>
            <w:tcW w:type="dxa" w:w="2280"/>
          </w:tcPr>
          <w:p>
            <w:r>
              <w:t>A</w:t>
            </w:r>
          </w:p>
        </w:tc>
        <w:tc>
          <w:tcPr>
            <w:tcW w:type="dxa" w:w="2280"/>
          </w:tcPr>
          <w:p>
            <w:r>
              <w:t>Nuclease termoestável; benchmark GFET (Purwidyantri 2021)</w:t>
            </w:r>
          </w:p>
        </w:tc>
      </w:tr>
      <w:tr>
        <w:tc>
          <w:tcPr>
            <w:tcW w:type="dxa" w:w="2280"/>
          </w:tcPr>
          <w:p>
            <w:r>
              <w:t>rmpM</w:t>
            </w:r>
          </w:p>
        </w:tc>
        <w:tc>
          <w:tcPr>
            <w:tcW w:type="dxa" w:w="2280"/>
          </w:tcPr>
          <w:p>
            <w:r>
              <w:t>Neisseria meningitidis</w:t>
            </w:r>
          </w:p>
        </w:tc>
        <w:tc>
          <w:tcPr>
            <w:tcW w:type="dxa" w:w="2280"/>
          </w:tcPr>
          <w:p>
            <w:r>
              <w:t>A</w:t>
            </w:r>
          </w:p>
        </w:tc>
        <w:tc>
          <w:tcPr>
            <w:tcW w:type="dxa" w:w="2280"/>
          </w:tcPr>
          <w:p>
            <w:r>
              <w:t>OMP classe 4; benchmark eletroquímico (Appaturi 2013)</w:t>
            </w:r>
          </w:p>
        </w:tc>
      </w:tr>
      <w:tr>
        <w:tc>
          <w:tcPr>
            <w:tcW w:type="dxa" w:w="2280"/>
          </w:tcPr>
          <w:p>
            <w:r>
              <w:t>lytA</w:t>
            </w:r>
          </w:p>
        </w:tc>
        <w:tc>
          <w:tcPr>
            <w:tcW w:type="dxa" w:w="2280"/>
          </w:tcPr>
          <w:p>
            <w:r>
              <w:t>Streptococcus pneumoniae</w:t>
            </w:r>
          </w:p>
        </w:tc>
        <w:tc>
          <w:tcPr>
            <w:tcW w:type="dxa" w:w="2280"/>
          </w:tcPr>
          <w:p>
            <w:r>
              <w:t>B</w:t>
            </w:r>
          </w:p>
        </w:tc>
        <w:tc>
          <w:tcPr>
            <w:tcW w:type="dxa" w:w="2280"/>
          </w:tcPr>
          <w:p>
            <w:r>
              <w:t>Autolisina LytA; gold-standard clínico</w:t>
            </w:r>
          </w:p>
        </w:tc>
      </w:tr>
      <w:tr>
        <w:tc>
          <w:tcPr>
            <w:tcW w:type="dxa" w:w="2280"/>
          </w:tcPr>
          <w:p>
            <w:r>
              <w:t>oprL</w:t>
            </w:r>
          </w:p>
        </w:tc>
        <w:tc>
          <w:tcPr>
            <w:tcW w:type="dxa" w:w="2280"/>
          </w:tcPr>
          <w:p>
            <w:r>
              <w:t>Pseudomonas aeruginosa</w:t>
            </w:r>
          </w:p>
        </w:tc>
        <w:tc>
          <w:tcPr>
            <w:tcW w:type="dxa" w:w="2280"/>
          </w:tcPr>
          <w:p>
            <w:r>
              <w:t>B</w:t>
            </w:r>
          </w:p>
        </w:tc>
        <w:tc>
          <w:tcPr>
            <w:tcW w:type="dxa" w:w="2280"/>
          </w:tcPr>
          <w:p>
            <w:r>
              <w:t>Lipoproteína OprL; gold-standard P. aeruginosa</w:t>
            </w:r>
          </w:p>
        </w:tc>
      </w:tr>
      <w:tr>
        <w:tc>
          <w:tcPr>
            <w:tcW w:type="dxa" w:w="2280"/>
          </w:tcPr>
          <w:p>
            <w:r>
              <w:t>algD</w:t>
            </w:r>
          </w:p>
        </w:tc>
        <w:tc>
          <w:tcPr>
            <w:tcW w:type="dxa" w:w="2280"/>
          </w:tcPr>
          <w:p>
            <w:r>
              <w:t>Pseudomonas aeruginosa</w:t>
            </w:r>
          </w:p>
        </w:tc>
        <w:tc>
          <w:tcPr>
            <w:tcW w:type="dxa" w:w="2280"/>
          </w:tcPr>
          <w:p>
            <w:r>
              <w:t>B</w:t>
            </w:r>
          </w:p>
        </w:tc>
        <w:tc>
          <w:tcPr>
            <w:tcW w:type="dxa" w:w="2280"/>
          </w:tcPr>
          <w:p>
            <w:r>
              <w:t>AlgD; marcador de fenótipo mucoide/biofilm</w:t>
            </w:r>
          </w:p>
        </w:tc>
      </w:tr>
      <w:tr>
        <w:tc>
          <w:tcPr>
            <w:tcW w:type="dxa" w:w="2280"/>
          </w:tcPr>
          <w:p>
            <w:r>
              <w:t>frdB</w:t>
            </w:r>
          </w:p>
        </w:tc>
        <w:tc>
          <w:tcPr>
            <w:tcW w:type="dxa" w:w="2280"/>
          </w:tcPr>
          <w:p>
            <w:r>
              <w:t>Haemophilus influenzae</w:t>
            </w:r>
          </w:p>
        </w:tc>
        <w:tc>
          <w:tcPr>
            <w:tcW w:type="dxa" w:w="2280"/>
          </w:tcPr>
          <w:p>
            <w:r>
              <w:t>B</w:t>
            </w:r>
          </w:p>
        </w:tc>
        <w:tc>
          <w:tcPr>
            <w:tcW w:type="dxa" w:w="2280"/>
          </w:tcPr>
          <w:p>
            <w:r>
              <w:t>Fumarato redutase FrdB; maior gap na literatura</w:t>
            </w:r>
          </w:p>
        </w:tc>
      </w:tr>
    </w:tbl>
    <w:p/>
    <w:p>
      <w:pPr>
        <w:pStyle w:val="Heading1"/>
      </w:pPr>
      <w:r>
        <w:rPr>
          <w:color w:val="1F497D"/>
        </w:rPr>
        <w:t>3. Arquitectura do Pipeline</w:t>
      </w:r>
    </w:p>
    <w:p>
      <w:pPr>
        <w:spacing w:after="120"/>
      </w:pPr>
      <w:r>
        <w:t>O pipeline executa as seguintes etapas sequencialmente para cada gene-alvo:</w:t>
      </w:r>
    </w:p>
    <w:p>
      <w:pPr>
        <w:spacing w:after="80"/>
      </w:pPr>
      <w:r>
        <w:rPr>
          <w:b/>
        </w:rPr>
        <w:t xml:space="preserve">Etapa 1 — Aquisição NCBI:  </w:t>
      </w:r>
      <w:r>
        <w:t>Descarrega até 20 sequências do gene via Entrez API com queries progressivas (principal → alternativa → fallback RefSeq). Filtra por comprimento mínimo/máximo definido por gene.</w:t>
      </w:r>
    </w:p>
    <w:p>
      <w:pPr>
        <w:spacing w:after="80"/>
      </w:pPr>
      <w:r>
        <w:rPr>
          <w:b/>
        </w:rPr>
        <w:t xml:space="preserve">Etapa 2 — Alinhamento MAFFT:  </w:t>
      </w:r>
      <w:r>
        <w:t>Alinha múltiplas sequências com MAFFT 7.526 (--auto). Produz aligned.fasta para revisão visual em Geneious/AliView.</w:t>
      </w:r>
    </w:p>
    <w:p>
      <w:pPr>
        <w:spacing w:after="80"/>
      </w:pPr>
      <w:r>
        <w:rPr>
          <w:b/>
        </w:rPr>
        <w:t xml:space="preserve">Etapa 3 — Janelas candidatas:  </w:t>
      </w:r>
      <w:r>
        <w:t>Sliding window (passo 3 nt, comprimento 18-28 nt) sobre o alinhamento. Calcula conservação e frequência de gaps por coluna. Filtra por thresholds específicos por gene.</w:t>
      </w:r>
    </w:p>
    <w:p>
      <w:pPr>
        <w:spacing w:after="80"/>
      </w:pPr>
      <w:r>
        <w:rPr>
          <w:b/>
        </w:rPr>
        <w:t xml:space="preserve">Etapa 4 — Scoring básico:  </w:t>
      </w:r>
      <w:r>
        <w:t>primer3-py calcula Tm (nearest-neighbour), GC, hairpin ΔG e homodimer ΔG para cada sequência consenso. Condições: 50 mM Na+, 250 nM oligo, 37°C.</w:t>
      </w:r>
    </w:p>
    <w:p>
      <w:pPr>
        <w:spacing w:after="80"/>
      </w:pPr>
      <w:r>
        <w:rPr>
          <w:b/>
        </w:rPr>
        <w:t xml:space="preserve">Etapa 5 — seqfold:  </w:t>
      </w:r>
      <w:r>
        <w:t>Cálculo do ΔG MFE (Minimum Free Energy) via algoritmo de Nussinov a 37°C. Rejeita probes com estrutura secundária global muito estável (ΔG &lt; −6 kcal/mol). Fracção de bases emparelhadas armazenada como informação complementar.</w:t>
      </w:r>
    </w:p>
    <w:p>
      <w:pPr>
        <w:spacing w:after="80"/>
      </w:pPr>
      <w:r>
        <w:rPr>
          <w:b/>
        </w:rPr>
        <w:t xml:space="preserve">Etapa 6 — Boltz-2 (no final):  </w:t>
      </w:r>
      <w:r>
        <w:t>Predição estrutural 3D com Boltz-2 nas top-N probes por gene (padrão: 5), ordenadas por Tm decrescente. Corre após todos os genes serem processados. Calcula RMSD entre réplicas (critério de qualidade: RMSD &lt; 2.0 Å). REQUER GPU para uso prático — em CPU demora &gt;30 min/probe.</w:t>
      </w:r>
    </w:p>
    <w:p/>
    <w:p>
      <w:pPr>
        <w:spacing w:after="120"/>
      </w:pPr>
      <w:r>
        <w:t>Após todas as etapas, o pipeline consolida os resultados num ficheiro CSV único (output/FINAL_PROBES_ALL.csv) que inclui as probes do pipeline e as probes da Beatriz (lidas automaticamente do ficheiro XLSX em data/).</w:t>
      </w:r>
    </w:p>
    <w:p>
      <w:pPr>
        <w:pStyle w:val="Heading1"/>
      </w:pPr>
      <w:r>
        <w:rPr>
          <w:color w:val="1F497D"/>
        </w:rPr>
        <w:t>4. Critérios de Selecção e Fundamentos Bibliográficos</w:t>
      </w:r>
    </w:p>
    <w:p>
      <w:pPr>
        <w:pStyle w:val="Heading2"/>
      </w:pPr>
      <w:r>
        <w:rPr>
          <w:color w:val="2E74B5"/>
        </w:rPr>
        <w:t>4.1 Critérios Globais (padrão)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Limiar</w:t>
            </w:r>
          </w:p>
        </w:tc>
        <w:tc>
          <w:tcPr>
            <w:tcW w:type="dxa" w:w="2280"/>
          </w:tcPr>
          <w:p>
            <w:r>
              <w:rPr>
                <w:b/>
              </w:rPr>
              <w:t>Justificação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Referência</w:t>
            </w:r>
          </w:p>
        </w:tc>
      </w:tr>
      <w:tr>
        <w:tc>
          <w:tcPr>
            <w:tcW w:type="dxa" w:w="2280"/>
          </w:tcPr>
          <w:p>
            <w:r>
              <w:t>Comprimento probe</w:t>
            </w:r>
          </w:p>
        </w:tc>
        <w:tc>
          <w:tcPr>
            <w:tcW w:type="dxa" w:w="2280"/>
          </w:tcPr>
          <w:p>
            <w:r>
              <w:t>18–28 nt</w:t>
            </w:r>
          </w:p>
        </w:tc>
        <w:tc>
          <w:tcPr>
            <w:tcW w:type="dxa" w:w="2280"/>
          </w:tcPr>
          <w:p>
            <w:r>
              <w:t>Equilíbrio especificidade/estabilidade</w:t>
            </w:r>
          </w:p>
        </w:tc>
        <w:tc>
          <w:tcPr>
            <w:tcW w:type="dxa" w:w="2280"/>
          </w:tcPr>
          <w:p>
            <w:r>
              <w:t>Wetmur 1991</w:t>
            </w:r>
          </w:p>
        </w:tc>
      </w:tr>
      <w:tr>
        <w:tc>
          <w:tcPr>
            <w:tcW w:type="dxa" w:w="2280"/>
          </w:tcPr>
          <w:p>
            <w:r>
              <w:t>Tm mínima</w:t>
            </w:r>
          </w:p>
        </w:tc>
        <w:tc>
          <w:tcPr>
            <w:tcW w:type="dxa" w:w="2280"/>
          </w:tcPr>
          <w:p>
            <w:r>
              <w:t>53 °C</w:t>
            </w:r>
          </w:p>
        </w:tc>
        <w:tc>
          <w:tcPr>
            <w:tcW w:type="dxa" w:w="2280"/>
          </w:tcPr>
          <w:p>
            <w:r>
              <w:t>Hibridação eficaz nas condições GFET</w:t>
            </w:r>
          </w:p>
        </w:tc>
        <w:tc>
          <w:tcPr>
            <w:tcW w:type="dxa" w:w="2280"/>
          </w:tcPr>
          <w:p>
            <w:r>
              <w:t>SantaLucia &amp; Hicks 2004</w:t>
            </w:r>
          </w:p>
        </w:tc>
      </w:tr>
      <w:tr>
        <w:tc>
          <w:tcPr>
            <w:tcW w:type="dxa" w:w="2280"/>
          </w:tcPr>
          <w:p>
            <w:r>
              <w:t>Tm máxima</w:t>
            </w:r>
          </w:p>
        </w:tc>
        <w:tc>
          <w:tcPr>
            <w:tcW w:type="dxa" w:w="2280"/>
          </w:tcPr>
          <w:p>
            <w:r>
              <w:t>72 °C</w:t>
            </w:r>
          </w:p>
        </w:tc>
        <w:tc>
          <w:tcPr>
            <w:tcW w:type="dxa" w:w="2280"/>
          </w:tcPr>
          <w:p>
            <w:r>
              <w:t>Evitar estruturas demasiado estáveis</w:t>
            </w:r>
          </w:p>
        </w:tc>
        <w:tc>
          <w:tcPr>
            <w:tcW w:type="dxa" w:w="2280"/>
          </w:tcPr>
          <w:p>
            <w:r>
              <w:t>SantaLucia &amp; Hicks 2004</w:t>
            </w:r>
          </w:p>
        </w:tc>
      </w:tr>
      <w:tr>
        <w:tc>
          <w:tcPr>
            <w:tcW w:type="dxa" w:w="2280"/>
          </w:tcPr>
          <w:p>
            <w:r>
              <w:t>GC mínimo</w:t>
            </w:r>
          </w:p>
        </w:tc>
        <w:tc>
          <w:tcPr>
            <w:tcW w:type="dxa" w:w="2280"/>
          </w:tcPr>
          <w:p>
            <w:r>
              <w:t>40%</w:t>
            </w:r>
          </w:p>
        </w:tc>
        <w:tc>
          <w:tcPr>
            <w:tcW w:type="dxa" w:w="2280"/>
          </w:tcPr>
          <w:p>
            <w:r>
              <w:t>Estabilidade mínima do duplex</w:t>
            </w:r>
          </w:p>
        </w:tc>
        <w:tc>
          <w:tcPr>
            <w:tcW w:type="dxa" w:w="2280"/>
          </w:tcPr>
          <w:p>
            <w:r>
              <w:t>IDT OligoAnalyzer</w:t>
            </w:r>
          </w:p>
        </w:tc>
      </w:tr>
      <w:tr>
        <w:tc>
          <w:tcPr>
            <w:tcW w:type="dxa" w:w="2280"/>
          </w:tcPr>
          <w:p>
            <w:r>
              <w:t>GC máximo</w:t>
            </w:r>
          </w:p>
        </w:tc>
        <w:tc>
          <w:tcPr>
            <w:tcW w:type="dxa" w:w="2280"/>
          </w:tcPr>
          <w:p>
            <w:r>
              <w:t>65%</w:t>
            </w:r>
          </w:p>
        </w:tc>
        <w:tc>
          <w:tcPr>
            <w:tcW w:type="dxa" w:w="2280"/>
          </w:tcPr>
          <w:p>
            <w:r>
              <w:t>Evitar auto-hibridação excessiva</w:t>
            </w:r>
          </w:p>
        </w:tc>
        <w:tc>
          <w:tcPr>
            <w:tcW w:type="dxa" w:w="2280"/>
          </w:tcPr>
          <w:p>
            <w:r>
              <w:t>IDT OligoAnalyzer</w:t>
            </w:r>
          </w:p>
        </w:tc>
      </w:tr>
      <w:tr>
        <w:tc>
          <w:tcPr>
            <w:tcW w:type="dxa" w:w="2280"/>
          </w:tcPr>
          <w:p>
            <w:r>
              <w:t>Hairpin ΔG</w:t>
            </w:r>
          </w:p>
        </w:tc>
        <w:tc>
          <w:tcPr>
            <w:tcW w:type="dxa" w:w="2280"/>
          </w:tcPr>
          <w:p>
            <w:r>
              <w:t>&gt; −2 kcal/mol</w:t>
            </w:r>
          </w:p>
        </w:tc>
        <w:tc>
          <w:tcPr>
            <w:tcW w:type="dxa" w:w="2280"/>
          </w:tcPr>
          <w:p>
            <w:r>
              <w:t>Sem hairpin significativo (ssDNA)</w:t>
            </w:r>
          </w:p>
        </w:tc>
        <w:tc>
          <w:tcPr>
            <w:tcW w:type="dxa" w:w="2280"/>
          </w:tcPr>
          <w:p>
            <w:r>
              <w:t>SantaLucia &amp; Hicks 2004</w:t>
            </w:r>
          </w:p>
        </w:tc>
      </w:tr>
      <w:tr>
        <w:tc>
          <w:tcPr>
            <w:tcW w:type="dxa" w:w="2280"/>
          </w:tcPr>
          <w:p>
            <w:r>
              <w:t>Homodimer ΔG</w:t>
            </w:r>
          </w:p>
        </w:tc>
        <w:tc>
          <w:tcPr>
            <w:tcW w:type="dxa" w:w="2280"/>
          </w:tcPr>
          <w:p>
            <w:r>
              <w:t>&gt; −5 kcal/mol</w:t>
            </w:r>
          </w:p>
        </w:tc>
        <w:tc>
          <w:tcPr>
            <w:tcW w:type="dxa" w:w="2280"/>
          </w:tcPr>
          <w:p>
            <w:r>
              <w:t>Sem dimerização da probe</w:t>
            </w:r>
          </w:p>
        </w:tc>
        <w:tc>
          <w:tcPr>
            <w:tcW w:type="dxa" w:w="2280"/>
          </w:tcPr>
          <w:p>
            <w:r>
              <w:t>IDT OligoAnalyzer</w:t>
            </w:r>
          </w:p>
        </w:tc>
      </w:tr>
      <w:tr>
        <w:tc>
          <w:tcPr>
            <w:tcW w:type="dxa" w:w="2280"/>
          </w:tcPr>
          <w:p>
            <w:r>
              <w:t>seqfold MFE ΔG</w:t>
            </w:r>
          </w:p>
        </w:tc>
        <w:tc>
          <w:tcPr>
            <w:tcW w:type="dxa" w:w="2280"/>
          </w:tcPr>
          <w:p>
            <w:r>
              <w:t>&gt; −6 kcal/mol</w:t>
            </w:r>
          </w:p>
        </w:tc>
        <w:tc>
          <w:tcPr>
            <w:tcW w:type="dxa" w:w="2280"/>
          </w:tcPr>
          <w:p>
            <w:r>
              <w:t>Estrutura secundária global fraca</w:t>
            </w:r>
          </w:p>
        </w:tc>
        <w:tc>
          <w:tcPr>
            <w:tcW w:type="dxa" w:w="2280"/>
          </w:tcPr>
          <w:p>
            <w:r>
              <w:t>Zadeh et al. 2011 (proxy)</w:t>
            </w:r>
          </w:p>
        </w:tc>
      </w:tr>
      <w:tr>
        <w:tc>
          <w:tcPr>
            <w:tcW w:type="dxa" w:w="2280"/>
          </w:tcPr>
          <w:p>
            <w:r>
              <w:t>Conservação alinhamento</w:t>
            </w:r>
          </w:p>
        </w:tc>
        <w:tc>
          <w:tcPr>
            <w:tcW w:type="dxa" w:w="2280"/>
          </w:tcPr>
          <w:p>
            <w:r>
              <w:t>≥ 85%</w:t>
            </w:r>
          </w:p>
        </w:tc>
        <w:tc>
          <w:tcPr>
            <w:tcW w:type="dxa" w:w="2280"/>
          </w:tcPr>
          <w:p>
            <w:r>
              <w:t>Cobertura da maioria das estirpes</w:t>
            </w:r>
          </w:p>
        </w:tc>
        <w:tc>
          <w:tcPr>
            <w:tcW w:type="dxa" w:w="2280"/>
          </w:tcPr>
          <w:p>
            <w:r>
              <w:t>Zadeh et al. 2011</w:t>
            </w:r>
          </w:p>
        </w:tc>
      </w:tr>
      <w:tr>
        <w:tc>
          <w:tcPr>
            <w:tcW w:type="dxa" w:w="2280"/>
          </w:tcPr>
          <w:p>
            <w:r>
              <w:t>Gap no alinhamento</w:t>
            </w:r>
          </w:p>
        </w:tc>
        <w:tc>
          <w:tcPr>
            <w:tcW w:type="dxa" w:w="2280"/>
          </w:tcPr>
          <w:p>
            <w:r>
              <w:t>≤ 20%</w:t>
            </w:r>
          </w:p>
        </w:tc>
        <w:tc>
          <w:tcPr>
            <w:tcW w:type="dxa" w:w="2280"/>
          </w:tcPr>
          <w:p>
            <w:r>
              <w:t>Região alinhável sem deleções frequentes</w:t>
            </w:r>
          </w:p>
        </w:tc>
        <w:tc>
          <w:tcPr>
            <w:tcW w:type="dxa" w:w="2280"/>
          </w:tcPr>
          <w:p>
            <w:r>
              <w:t>Zadeh et al. 2011</w:t>
            </w:r>
          </w:p>
        </w:tc>
      </w:tr>
      <w:tr>
        <w:tc>
          <w:tcPr>
            <w:tcW w:type="dxa" w:w="2280"/>
          </w:tcPr>
          <w:p>
            <w:r>
              <w:t>RMSD intra-Boltz-2</w:t>
            </w:r>
          </w:p>
        </w:tc>
        <w:tc>
          <w:tcPr>
            <w:tcW w:type="dxa" w:w="2280"/>
          </w:tcPr>
          <w:p>
            <w:r>
              <w:t>&lt; 2.0 Å</w:t>
            </w:r>
          </w:p>
        </w:tc>
        <w:tc>
          <w:tcPr>
            <w:tcW w:type="dxa" w:w="2280"/>
          </w:tcPr>
          <w:p>
            <w:r>
              <w:t>Convergência do modelo estrutural</w:t>
            </w:r>
          </w:p>
        </w:tc>
        <w:tc>
          <w:tcPr>
            <w:tcW w:type="dxa" w:w="2280"/>
          </w:tcPr>
          <w:p>
            <w:r>
              <w:t>Wohlwend et al. 2024</w:t>
            </w:r>
          </w:p>
        </w:tc>
      </w:tr>
    </w:tbl>
    <w:p/>
    <w:p>
      <w:pPr>
        <w:pStyle w:val="Heading2"/>
      </w:pPr>
      <w:r>
        <w:rPr>
          <w:color w:val="2E74B5"/>
        </w:rPr>
        <w:t>4.2 Ajustes por Gene/Organismo</w:t>
      </w:r>
    </w:p>
    <w:p>
      <w:pPr>
        <w:spacing w:after="120"/>
      </w:pPr>
      <w:r>
        <w:t>Vários genes apresentam características genómicas específicas que justificam a adaptação dos limiares globais: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280"/>
          </w:tcPr>
          <w:p>
            <w:r>
              <w:rPr>
                <w:b/>
              </w:rPr>
              <w:t>Justificação</w:t>
            </w:r>
          </w:p>
        </w:tc>
      </w:tr>
      <w:tr>
        <w:tc>
          <w:tcPr>
            <w:tcW w:type="dxa" w:w="2280"/>
          </w:tcPr>
          <w:p>
            <w:r>
              <w:t>nuc</w:t>
            </w:r>
          </w:p>
        </w:tc>
        <w:tc>
          <w:tcPr>
            <w:tcW w:type="dxa" w:w="2280"/>
          </w:tcPr>
          <w:p>
            <w:r>
              <w:t>GC mínimo/máximo</w:t>
            </w:r>
          </w:p>
        </w:tc>
        <w:tc>
          <w:tcPr>
            <w:tcW w:type="dxa" w:w="2280"/>
          </w:tcPr>
          <w:p>
            <w:r>
              <w:t>38–60%</w:t>
            </w:r>
          </w:p>
        </w:tc>
        <w:tc>
          <w:tcPr>
            <w:tcW w:type="dxa" w:w="2280"/>
          </w:tcPr>
          <w:p>
            <w:r>
              <w:t>Gene AT-rico de S. aureus; Tm mínima reduzida para 52°C</w:t>
            </w:r>
          </w:p>
        </w:tc>
      </w:tr>
      <w:tr>
        <w:tc>
          <w:tcPr>
            <w:tcW w:type="dxa" w:w="2280"/>
          </w:tcPr>
          <w:p>
            <w:r>
              <w:t>rmpM</w:t>
            </w:r>
          </w:p>
        </w:tc>
        <w:tc>
          <w:tcPr>
            <w:tcW w:type="dxa" w:w="2280"/>
          </w:tcPr>
          <w:p>
            <w:r>
              <w:t>GC máximo</w:t>
            </w:r>
          </w:p>
        </w:tc>
        <w:tc>
          <w:tcPr>
            <w:tcW w:type="dxa" w:w="2280"/>
          </w:tcPr>
          <w:p>
            <w:r>
              <w:t>65%</w:t>
            </w:r>
          </w:p>
        </w:tc>
        <w:tc>
          <w:tcPr>
            <w:tcW w:type="dxa" w:w="2280"/>
          </w:tcPr>
          <w:p>
            <w:r>
              <w:t>IDT guidelines; poucos homólogos (cons_min=80%)</w:t>
            </w:r>
          </w:p>
        </w:tc>
      </w:tr>
      <w:tr>
        <w:tc>
          <w:tcPr>
            <w:tcW w:type="dxa" w:w="2280"/>
          </w:tcPr>
          <w:p>
            <w:r>
              <w:t>lytA</w:t>
            </w:r>
          </w:p>
        </w:tc>
        <w:tc>
          <w:tcPr>
            <w:tcW w:type="dxa" w:w="2280"/>
          </w:tcPr>
          <w:p>
            <w:r>
              <w:t>Conservação/gap</w:t>
            </w:r>
          </w:p>
        </w:tc>
        <w:tc>
          <w:tcPr>
            <w:tcW w:type="dxa" w:w="2280"/>
          </w:tcPr>
          <w:p>
            <w:r>
              <w:t>70% / 40%</w:t>
            </w:r>
          </w:p>
        </w:tc>
        <w:tc>
          <w:tcPr>
            <w:tcW w:type="dxa" w:w="2280"/>
          </w:tcPr>
          <w:p>
            <w:r>
              <w:t>lytA tem diversidade alélica conhecida (Whatmore et al. 2000)</w:t>
            </w:r>
          </w:p>
        </w:tc>
      </w:tr>
      <w:tr>
        <w:tc>
          <w:tcPr>
            <w:tcW w:type="dxa" w:w="2280"/>
          </w:tcPr>
          <w:p>
            <w:r>
              <w:t>oprL</w:t>
            </w:r>
          </w:p>
        </w:tc>
        <w:tc>
          <w:tcPr>
            <w:tcW w:type="dxa" w:w="2280"/>
          </w:tcPr>
          <w:p>
            <w:r>
              <w:t>GC máximo</w:t>
            </w:r>
          </w:p>
        </w:tc>
        <w:tc>
          <w:tcPr>
            <w:tcW w:type="dxa" w:w="2280"/>
          </w:tcPr>
          <w:p>
            <w:r>
              <w:t>70%</w:t>
            </w:r>
          </w:p>
        </w:tc>
        <w:tc>
          <w:tcPr>
            <w:tcW w:type="dxa" w:w="2280"/>
          </w:tcPr>
          <w:p>
            <w:r>
              <w:t>P. aeruginosa: genoma GC-rico ~67% (Stover et al. 2000)</w:t>
            </w:r>
          </w:p>
        </w:tc>
      </w:tr>
      <w:tr>
        <w:tc>
          <w:tcPr>
            <w:tcW w:type="dxa" w:w="2280"/>
          </w:tcPr>
          <w:p>
            <w:r>
              <w:t>algD</w:t>
            </w:r>
          </w:p>
        </w:tc>
        <w:tc>
          <w:tcPr>
            <w:tcW w:type="dxa" w:w="2280"/>
          </w:tcPr>
          <w:p>
            <w:r>
              <w:t>GC máximo</w:t>
            </w:r>
          </w:p>
        </w:tc>
        <w:tc>
          <w:tcPr>
            <w:tcW w:type="dxa" w:w="2280"/>
          </w:tcPr>
          <w:p>
            <w:r>
              <w:t>70%</w:t>
            </w:r>
          </w:p>
        </w:tc>
        <w:tc>
          <w:tcPr>
            <w:tcW w:type="dxa" w:w="2280"/>
          </w:tcPr>
          <w:p>
            <w:r>
              <w:t>P. aeruginosa: genoma GC-rico ~67% (Stover et al. 2000)</w:t>
            </w:r>
          </w:p>
        </w:tc>
      </w:tr>
      <w:tr>
        <w:tc>
          <w:tcPr>
            <w:tcW w:type="dxa" w:w="2280"/>
          </w:tcPr>
          <w:p>
            <w:r>
              <w:t>frdB</w:t>
            </w:r>
          </w:p>
        </w:tc>
        <w:tc>
          <w:tcPr>
            <w:tcW w:type="dxa" w:w="2280"/>
          </w:tcPr>
          <w:p>
            <w:r>
              <w:t>GC mínimo/máximo</w:t>
            </w:r>
          </w:p>
        </w:tc>
        <w:tc>
          <w:tcPr>
            <w:tcW w:type="dxa" w:w="2280"/>
          </w:tcPr>
          <w:p>
            <w:r>
              <w:t>38–60%</w:t>
            </w:r>
          </w:p>
        </w:tc>
        <w:tc>
          <w:tcPr>
            <w:tcW w:type="dxa" w:w="2280"/>
          </w:tcPr>
          <w:p>
            <w:r>
              <w:t>H. influenzae AT-rico; IDT guidelines</w:t>
            </w:r>
          </w:p>
        </w:tc>
      </w:tr>
    </w:tbl>
    <w:p/>
    <w:p>
      <w:pPr>
        <w:pStyle w:val="Heading1"/>
      </w:pPr>
      <w:r>
        <w:rPr>
          <w:color w:val="1F497D"/>
        </w:rPr>
        <w:t>5. Detalhe Técnico de Cada Módulo</w:t>
      </w:r>
    </w:p>
    <w:p>
      <w:pPr>
        <w:pStyle w:val="Heading2"/>
      </w:pPr>
      <w:r>
        <w:rPr>
          <w:color w:val="2E74B5"/>
        </w:rPr>
        <w:t>5.1 Aquisição de Sequências (NCBI Entrez API)</w:t>
      </w:r>
    </w:p>
    <w:p>
      <w:pPr>
        <w:spacing w:after="120"/>
      </w:pPr>
      <w:r>
        <w:t>A função fetch_sequences() utiliza a API Biopython/Entrez para pesquisar sequências nucleotídicas. Para cada gene são tentadas três queries progressivas com critérios decrescentes: query principal (gene name + organismo + comprimento), query alternativa (título + organismo) e fallback directo ao accession RefSeq de referência. As sequências são filtradas por comprimento mínimo/máximo definido por gene (ex: nuc: 200–3000 bp; lytA: 700–1300 bp). O formato FASTA retornado é pré-processado para remover linhas de comentário (!, #, ;) antes do parsing com Biopython SeqIO.</w:t>
      </w:r>
    </w:p>
    <w:p>
      <w:pPr>
        <w:pStyle w:val="Heading2"/>
      </w:pPr>
      <w:r>
        <w:rPr>
          <w:color w:val="2E74B5"/>
        </w:rPr>
        <w:t>5.2 Alinhamento Múltiplo (MAFFT 7.526)</w:t>
      </w:r>
    </w:p>
    <w:p>
      <w:pPr>
        <w:spacing w:after="120"/>
      </w:pPr>
      <w:r>
        <w:t>O alinhamento múltiplo é realizado com MAFFT 7.526 (Katoh &amp; Standley 2013) com a flag --auto que selecciona automaticamente o algoritmo (FFT-NS-2 para ≤200 sequências). O binário Windows está incluído na pasta MAFFT/ do projecto. O ficheiro aligned.fasta é compatível com Geneious e AliView para revisão visual.</w:t>
      </w:r>
    </w:p>
    <w:p>
      <w:pPr>
        <w:pStyle w:val="Heading2"/>
      </w:pPr>
      <w:r>
        <w:rPr>
          <w:color w:val="2E74B5"/>
        </w:rPr>
        <w:t>5.3 Janelas Candidatas (Sliding Window)</w:t>
      </w:r>
    </w:p>
    <w:p>
      <w:pPr>
        <w:spacing w:after="120"/>
      </w:pPr>
      <w:r>
        <w:t>Sobre o alinhamento múltiplo, uma janela deslizante de comprimento 18–28 nt (passo 3 nt) avalia, para cada posição, a conservação por coluna e a frequência de gaps. Conservação = frequência do nucleótido mais comum (excluindo gaps e N). Uma janela é candidata se: conservação média ≥ cons_min, gap médio ≤ gap_max, e sem 3+ N consecutivos na sequência consenso.</w:t>
      </w:r>
    </w:p>
    <w:p>
      <w:pPr>
        <w:pStyle w:val="Heading2"/>
      </w:pPr>
      <w:r>
        <w:rPr>
          <w:color w:val="2E74B5"/>
        </w:rPr>
        <w:t>5.4 Scoring Termodinâmico Básico (primer3-py)</w:t>
      </w:r>
    </w:p>
    <w:p>
      <w:pPr>
        <w:spacing w:after="120"/>
      </w:pPr>
      <w:r>
        <w:t>A biblioteca primer3-py implementa os parâmetros nearest-neighbour de SantaLucia &amp; Hicks (2004). Condições: 50 mM Na+, 0 mM Mg2+, 0 mM dNTP, 250 nM oligo, 37°C (representativas das condições GFET). São calculados: Tm (ΔH/ΔS method), GC%, hairpin ΔG e homodimer ΔG. A flag structure_found da primer3-py evita falsos positivos: se nenhuma estrutura é detectada, o valor é None (considerado OK).</w:t>
      </w:r>
    </w:p>
    <w:p>
      <w:pPr>
        <w:pStyle w:val="Heading2"/>
      </w:pPr>
      <w:r>
        <w:rPr>
          <w:color w:val="2E74B5"/>
        </w:rPr>
        <w:t>5.5 Estrutura Secundária Global (seqfold)</w:t>
      </w:r>
    </w:p>
    <w:p>
      <w:pPr>
        <w:spacing w:after="120"/>
      </w:pPr>
      <w:r>
        <w:t>A segunda fase de filtragem usa o algoritmo de Nussinov implementado na biblioteca seqfold (MIT license). Ao contrário do primer3 que avalia apenas o hairpin mais estável isolado, o seqfold calcula o ΔG MFE da estrutura secundária global da probe, capturando padrões mais complexos de auto-complementaridade. O limiar ΔG ≥ −6 kcal/mol rejeita probes com estrutura secundária que comprometeria a hibridação. Este valor é uma aproximação recalibrada ao critério NUPACK (ΔG &lt; −12 kcal/mol, Zadeh et al. 2011) para a escala do algoritmo Nussinov, que tende a produzir valores menos negativos que o ensemble NUPACK para sequências curtas (18–28 nt).</w:t>
      </w:r>
    </w:p>
    <w:p>
      <w:pPr>
        <w:pStyle w:val="Heading2"/>
      </w:pPr>
      <w:r>
        <w:rPr>
          <w:color w:val="2E74B5"/>
        </w:rPr>
        <w:t>5.6 Predição Estrutural 3D (Boltz-2)</w:t>
      </w:r>
    </w:p>
    <w:p>
      <w:pPr>
        <w:spacing w:after="120"/>
      </w:pPr>
      <w:r>
        <w:t>A predição estrutural 3D usa o modelo Boltz-2 (Wohlwend et al. 2024), um modelo de co-folding multimodal que prediz estruturas 3D de DNA, RNA, proteínas e complexos. O Boltz-2 usa um processo de difusão iterativa com recycling_steps=3 e sampling_steps=200, gerando múltiplas réplicas independentes por probe. O RMSD médio entre réplicas (átomos C4' do esqueleto de desoxirribose, calculado com Biopython Superimposer) serve como critério de qualidade: RMSD &lt; 2.0 Å indica convergência estrutural. O modelo padrão é boltz2 (mais preciso que boltz1 para DNA).</w:t>
      </w:r>
    </w:p>
    <w:p>
      <w:pPr>
        <w:spacing w:after="120"/>
      </w:pPr>
      <w:r>
        <w:t>LIMITAÇÃO: o Boltz-2 em CPU demora &gt;30 minutos por probe mesmo com parâmetros mínimos. Para uso prático é necessária GPU (NVIDIA CUDA). Com GPU, cada predição demora ~2–5 minutos.</w:t>
      </w:r>
    </w:p>
    <w:p>
      <w:pPr>
        <w:pStyle w:val="Heading1"/>
      </w:pPr>
      <w:r>
        <w:rPr>
          <w:color w:val="1F497D"/>
        </w:rPr>
        <w:t>6. Ficheiros de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3041"/>
          </w:tcPr>
          <w:p>
            <w:r>
              <w:t>FINAL_PROBES_ALL.csv</w:t>
            </w:r>
          </w:p>
        </w:tc>
        <w:tc>
          <w:tcPr>
            <w:tcW w:type="dxa" w:w="3041"/>
          </w:tcPr>
          <w:p>
            <w:r>
              <w:t>output/</w:t>
            </w:r>
          </w:p>
        </w:tc>
        <w:tc>
          <w:tcPr>
            <w:tcW w:type="dxa" w:w="3041"/>
          </w:tcPr>
          <w:p>
            <w:r>
              <w:t>Todas as probes (pipeline + Beatriz) com todos os scores</w:t>
            </w:r>
          </w:p>
        </w:tc>
      </w:tr>
      <w:tr>
        <w:tc>
          <w:tcPr>
            <w:tcW w:type="dxa" w:w="3041"/>
          </w:tcPr>
          <w:p>
            <w:r>
              <w:t>&lt;gene&gt;_probes_scored.tsv</w:t>
            </w:r>
          </w:p>
        </w:tc>
        <w:tc>
          <w:tcPr>
            <w:tcW w:type="dxa" w:w="3041"/>
          </w:tcPr>
          <w:p>
            <w:r>
              <w:t>output/alignments/&lt;gene&gt;/</w:t>
            </w:r>
          </w:p>
        </w:tc>
        <w:tc>
          <w:tcPr>
            <w:tcW w:type="dxa" w:w="3041"/>
          </w:tcPr>
          <w:p>
            <w:r>
              <w:t>Probes do gene com todas as métricas em TSV</w:t>
            </w:r>
          </w:p>
        </w:tc>
      </w:tr>
      <w:tr>
        <w:tc>
          <w:tcPr>
            <w:tcW w:type="dxa" w:w="3041"/>
          </w:tcPr>
          <w:p>
            <w:r>
              <w:t>&lt;gene&gt;_viroscope_probes.fasta</w:t>
            </w:r>
          </w:p>
        </w:tc>
        <w:tc>
          <w:tcPr>
            <w:tcW w:type="dxa" w:w="3041"/>
          </w:tcPr>
          <w:p>
            <w:r>
              <w:t>output/alignments/&lt;gene&gt;/</w:t>
            </w:r>
          </w:p>
        </w:tc>
        <w:tc>
          <w:tcPr>
            <w:tcW w:type="dxa" w:w="3041"/>
          </w:tcPr>
          <w:p>
            <w:r>
              <w:t>FASTA das probes PASS para ViruScope</w:t>
            </w:r>
          </w:p>
        </w:tc>
      </w:tr>
      <w:tr>
        <w:tc>
          <w:tcPr>
            <w:tcW w:type="dxa" w:w="3041"/>
          </w:tcPr>
          <w:p>
            <w:r>
              <w:t>aligned.fasta</w:t>
            </w:r>
          </w:p>
        </w:tc>
        <w:tc>
          <w:tcPr>
            <w:tcW w:type="dxa" w:w="3041"/>
          </w:tcPr>
          <w:p>
            <w:r>
              <w:t>output/alignments/&lt;gene&gt;/</w:t>
            </w:r>
          </w:p>
        </w:tc>
        <w:tc>
          <w:tcPr>
            <w:tcW w:type="dxa" w:w="3041"/>
          </w:tcPr>
          <w:p>
            <w:r>
              <w:t>Alinhamento múltiplo para revisão visual</w:t>
            </w:r>
          </w:p>
        </w:tc>
      </w:tr>
      <w:tr>
        <w:tc>
          <w:tcPr>
            <w:tcW w:type="dxa" w:w="3041"/>
          </w:tcPr>
          <w:p>
            <w:r>
              <w:t>&lt;probe_id&gt;/boltz/*.cif</w:t>
            </w:r>
          </w:p>
        </w:tc>
        <w:tc>
          <w:tcPr>
            <w:tcW w:type="dxa" w:w="3041"/>
          </w:tcPr>
          <w:p>
            <w:r>
              <w:t>output/structures/</w:t>
            </w:r>
          </w:p>
        </w:tc>
        <w:tc>
          <w:tcPr>
            <w:tcW w:type="dxa" w:w="3041"/>
          </w:tcPr>
          <w:p>
            <w:r>
              <w:t>Estruturas CIF geradas pelo Boltz-2</w:t>
            </w:r>
          </w:p>
        </w:tc>
      </w:tr>
    </w:tbl>
    <w:p/>
    <w:p>
      <w:pPr>
        <w:pStyle w:val="Heading2"/>
      </w:pPr>
      <w:r>
        <w:rPr>
          <w:color w:val="2E74B5"/>
        </w:rPr>
        <w:t>Colunas principais do CSV consolidado</w:t>
      </w:r>
    </w:p>
    <w:p>
      <w:pPr>
        <w:pStyle w:val="ListBullet"/>
        <w:spacing w:after="60"/>
      </w:pPr>
      <w:r>
        <w:t>probe_id — identificador codificado (ex: p001_Saur_nuc_pos373-395_Tm54.1_GC40_hp-0.38_PASS)</w:t>
      </w:r>
    </w:p>
    <w:p>
      <w:pPr>
        <w:pStyle w:val="ListBullet"/>
        <w:spacing w:after="60"/>
      </w:pPr>
      <w:r>
        <w:t>gene / organism / group — gene-alvo, organismo e grupo (A/B)</w:t>
      </w:r>
    </w:p>
    <w:p>
      <w:pPr>
        <w:pStyle w:val="ListBullet"/>
        <w:spacing w:after="60"/>
      </w:pPr>
      <w:r>
        <w:t>sequence — sequência 5'→3' da probe (DNA, uppercase)</w:t>
      </w:r>
    </w:p>
    <w:p>
      <w:pPr>
        <w:pStyle w:val="ListBullet"/>
        <w:spacing w:after="60"/>
      </w:pPr>
      <w:r>
        <w:t>pos_start / pos_end — posição no alinhamento múltiplo</w:t>
      </w:r>
    </w:p>
    <w:p>
      <w:pPr>
        <w:pStyle w:val="ListBullet"/>
        <w:spacing w:after="60"/>
      </w:pPr>
      <w:r>
        <w:t>tm — temperatura de fusão (°C), método nearest-neighbour, 50 mM Na+</w:t>
      </w:r>
    </w:p>
    <w:p>
      <w:pPr>
        <w:pStyle w:val="ListBullet"/>
        <w:spacing w:after="60"/>
      </w:pPr>
      <w:r>
        <w:t>gc — conteúdo GC (0–1)</w:t>
      </w:r>
    </w:p>
    <w:p>
      <w:pPr>
        <w:pStyle w:val="ListBullet"/>
        <w:spacing w:after="60"/>
      </w:pPr>
      <w:r>
        <w:t>hairpin_dg — ΔG hairpin (kcal/mol); None = sem estrutura (OK)</w:t>
      </w:r>
    </w:p>
    <w:p>
      <w:pPr>
        <w:pStyle w:val="ListBullet"/>
        <w:spacing w:after="60"/>
      </w:pPr>
      <w:r>
        <w:t>homodimer_dg — ΔG homodimer (kcal/mol); None = sem estrutura (OK)</w:t>
      </w:r>
    </w:p>
    <w:p>
      <w:pPr>
        <w:pStyle w:val="ListBullet"/>
        <w:spacing w:after="60"/>
      </w:pPr>
      <w:r>
        <w:t>nupack_dg — ΔG MFE seqfold (kcal/mol)</w:t>
      </w:r>
    </w:p>
    <w:p>
      <w:pPr>
        <w:pStyle w:val="ListBullet"/>
        <w:spacing w:after="60"/>
      </w:pPr>
      <w:r>
        <w:t>nupack_defect — fracção de bases emparelhadas no MFE seqfold</w:t>
      </w:r>
    </w:p>
    <w:p>
      <w:pPr>
        <w:pStyle w:val="ListBullet"/>
        <w:spacing w:after="60"/>
      </w:pPr>
      <w:r>
        <w:t>structure_cif — path para estrutura 3D (CIF ou PDB)</w:t>
      </w:r>
    </w:p>
    <w:p>
      <w:pPr>
        <w:pStyle w:val="ListBullet"/>
        <w:spacing w:after="60"/>
      </w:pPr>
      <w:r>
        <w:t>rmsd — RMSD médio entre réplicas Boltz-2 (Å)</w:t>
      </w:r>
    </w:p>
    <w:p>
      <w:pPr>
        <w:pStyle w:val="ListBullet"/>
        <w:spacing w:after="60"/>
      </w:pPr>
      <w:r>
        <w:t>pass_basic / pass_nupack / pass_3d — flags de aprovação em cada fase</w:t>
      </w:r>
    </w:p>
    <w:p>
      <w:pPr>
        <w:pStyle w:val="ListBullet"/>
        <w:spacing w:after="60"/>
      </w:pPr>
      <w:r>
        <w:t>fonte — origem da probe: romeu, beatriz ou literatura</w:t>
      </w:r>
    </w:p>
    <w:p>
      <w:pPr>
        <w:pStyle w:val="Heading1"/>
      </w:pPr>
      <w:r>
        <w:rPr>
          <w:color w:val="1F497D"/>
        </w:rPr>
        <w:t>7. Limitações Actuais e Possíveis Alterações</w:t>
      </w:r>
    </w:p>
    <w:p>
      <w:pPr>
        <w:pStyle w:val="Heading2"/>
      </w:pPr>
      <w:r>
        <w:rPr>
          <w:color w:val="2E74B5"/>
        </w:rPr>
        <w:t>7.1 Substituição do seqfold por NUPACK</w:t>
      </w:r>
    </w:p>
    <w:p>
      <w:pPr>
        <w:spacing w:after="120"/>
      </w:pPr>
      <w:r>
        <w:t>O seqfold usa o algoritmo de Nussinov (1980), mais simples que a análise de função de partição do NUPACK (Zadeh et al. 2011). O NUPACK calcula o ΔG ensemble e o ensemble defect, métricas mais rigorosas e com melhor calibração experimental. A substituição melhoraria o filtro de estrutura secundária.</w:t>
      </w:r>
    </w:p>
    <w:p>
      <w:pPr>
        <w:pStyle w:val="ListBullet"/>
        <w:spacing w:after="60"/>
      </w:pPr>
      <w:r>
        <w:t>Quando alterar: se a validação experimental mostrar demasiados falsos positivos no filtro seqfold</w:t>
      </w:r>
    </w:p>
    <w:p>
      <w:pPr>
        <w:pStyle w:val="ListBullet"/>
        <w:spacing w:after="60"/>
      </w:pPr>
      <w:r>
        <w:t>Como alterar: substituir run_seqfold_probe() por chamada ao NUPACK CLI (pip install nupack — requer registo académico gratuito em nupack.org)</w:t>
      </w:r>
    </w:p>
    <w:p>
      <w:pPr>
        <w:pStyle w:val="ListBullet"/>
        <w:spacing w:after="60"/>
      </w:pPr>
      <w:r>
        <w:t>Thresholds NUPACK: nupack_dg_max = −12 kcal/mol, nupack_defect_max = 0.10</w:t>
      </w:r>
    </w:p>
    <w:p>
      <w:pPr>
        <w:pStyle w:val="Heading2"/>
      </w:pPr>
      <w:r>
        <w:rPr>
          <w:color w:val="2E74B5"/>
        </w:rPr>
        <w:t>7.2 Integração do NucleoFold3D para Comparação Estrutural</w:t>
      </w:r>
    </w:p>
    <w:p>
      <w:pPr>
        <w:spacing w:after="120"/>
      </w:pPr>
      <w:r>
        <w:t>O NucleoFold3D (Beatriz et al.) combina RNAfold (ViennaRNA), NSP (coarse-grained assembly) e minimização AMBER (force field OL15 para DNA, solvente implícito GB igb=5, saltcon=0.15). Produz 5 estruturas PDB por probe com energias AMBER. A comparação cross-tool (RMSD NucleoFold3D vs. Boltz-2) aumentaria a confiança nos modelos estruturais.</w:t>
      </w:r>
    </w:p>
    <w:p>
      <w:pPr>
        <w:pStyle w:val="ListBullet"/>
        <w:spacing w:after="60"/>
      </w:pPr>
      <w:r>
        <w:t>Limitação actual: o binário NSP está disponível apenas para Linux/macOS</w:t>
      </w:r>
    </w:p>
    <w:p>
      <w:pPr>
        <w:pStyle w:val="ListBullet"/>
        <w:spacing w:after="60"/>
      </w:pPr>
      <w:r>
        <w:t>Quando integrar: após obter acesso ao servidor Linux do laboratório ou via WSL</w:t>
      </w:r>
    </w:p>
    <w:p>
      <w:pPr>
        <w:pStyle w:val="ListBullet"/>
        <w:spacing w:after="60"/>
      </w:pPr>
      <w:r>
        <w:t>Como integrar: usar scripts/nucleofold_predict.py que já implementa o wrapper e o cálculo de RMSD</w:t>
      </w:r>
    </w:p>
    <w:p>
      <w:pPr>
        <w:pStyle w:val="Heading2"/>
      </w:pPr>
      <w:r>
        <w:rPr>
          <w:color w:val="2E74B5"/>
        </w:rPr>
        <w:t>7.3 GPU para Boltz-2</w:t>
      </w:r>
    </w:p>
    <w:p>
      <w:pPr>
        <w:spacing w:after="120"/>
      </w:pPr>
      <w:r>
        <w:t>Em CPU o Boltz-2 demora &gt;30 min/probe mesmo com parâmetros mínimos. Com GPU NVIDIA (CUDA), a mesma predição demora ~2–5 minutos, tornando viável o processamento de dezenas de probes em poucas horas.</w:t>
      </w:r>
    </w:p>
    <w:p>
      <w:pPr>
        <w:pStyle w:val="ListBullet"/>
        <w:spacing w:after="60"/>
      </w:pPr>
      <w:r>
        <w:t>Quando activar: logo que haja acesso a GPU (servidor do laboratório, Google Colab Pro, NVIDIA RTX local)</w:t>
      </w:r>
    </w:p>
    <w:p>
      <w:pPr>
        <w:pStyle w:val="ListBullet"/>
        <w:spacing w:after="60"/>
      </w:pPr>
      <w:r>
        <w:t>Como activar: substituir --accelerator cpu por --accelerator gpu no pipeline (pipeline.py, função run_boltz2)</w:t>
      </w:r>
    </w:p>
    <w:p>
      <w:pPr>
        <w:pStyle w:val="Heading2"/>
      </w:pPr>
      <w:r>
        <w:rPr>
          <w:color w:val="2E74B5"/>
        </w:rPr>
        <w:t>7.4 Validação de Especificidade por BLAST</w:t>
      </w:r>
    </w:p>
    <w:p>
      <w:pPr>
        <w:spacing w:after="120"/>
      </w:pPr>
      <w:r>
        <w:t>A especificidade das probes (ausência de reactividade cruzada com organismos não-alvo) não está automatizada. O passo manual recomendado é submeter cada probe PASS ao BLAST nucleotídico (database nr, excluindo o organismo-alvo).</w:t>
      </w:r>
    </w:p>
    <w:p>
      <w:pPr>
        <w:pStyle w:val="ListBullet"/>
        <w:spacing w:after="60"/>
      </w:pPr>
      <w:r>
        <w:t>Quando integrar: antes da validação experimental, após selecção das probes finais</w:t>
      </w:r>
    </w:p>
    <w:p>
      <w:pPr>
        <w:pStyle w:val="ListBullet"/>
        <w:spacing w:after="60"/>
      </w:pPr>
      <w:r>
        <w:t>Como integrar: usar NCBI BLAST API via Biopython (Bio.Blast.NCBIWWW.qblast) ou BLAST local instalado</w:t>
      </w:r>
    </w:p>
    <w:p>
      <w:pPr>
        <w:pStyle w:val="ListBullet"/>
        <w:spacing w:after="60"/>
      </w:pPr>
      <w:r>
        <w:t>Critério sugerido: rejeitar probes com hits E-value &lt; 0.01 em organismos não-alvo relevantes</w:t>
      </w:r>
    </w:p>
    <w:p>
      <w:pPr>
        <w:pStyle w:val="Heading2"/>
      </w:pPr>
      <w:r>
        <w:rPr>
          <w:color w:val="2E74B5"/>
        </w:rPr>
        <w:t>7.5 Número de Sequências NCBI (max_seqs)</w:t>
      </w:r>
    </w:p>
    <w:p>
      <w:pPr>
        <w:spacing w:after="120"/>
      </w:pPr>
      <w:r>
        <w:t>O pipeline descarrega no máximo 20 sequências por gene. Para genes com elevada diversidade alélica (ex: lytA, rmpM), um maior número de sequências melhora a robustez da análise de conservação.</w:t>
      </w:r>
    </w:p>
    <w:p>
      <w:pPr>
        <w:pStyle w:val="ListBullet"/>
        <w:spacing w:after="60"/>
      </w:pPr>
      <w:r>
        <w:t>Quando alterar: se a diversidade de estirpes clínicas relevantes exceder 20 sequências disponíveis</w:t>
      </w:r>
    </w:p>
    <w:p>
      <w:pPr>
        <w:pStyle w:val="ListBullet"/>
        <w:spacing w:after="60"/>
      </w:pPr>
      <w:r>
        <w:t>Como alterar: aumentar max_seqs em DEFAULTS no pipeline.py (ex: 50 ou 100)</w:t>
      </w:r>
    </w:p>
    <w:p>
      <w:pPr>
        <w:pStyle w:val="ListBullet"/>
        <w:spacing w:after="60"/>
      </w:pPr>
      <w:r>
        <w:t>Impacto: maior tempo de download e alinhamento (~linear com o número de sequências)</w:t>
      </w:r>
    </w:p>
    <w:p>
      <w:pPr>
        <w:pStyle w:val="Heading2"/>
      </w:pPr>
      <w:r>
        <w:rPr>
          <w:color w:val="2E74B5"/>
        </w:rPr>
        <w:t>7.6 Algoritmo de Alinhamento MAFFT</w:t>
      </w:r>
    </w:p>
    <w:p>
      <w:pPr>
        <w:spacing w:after="120"/>
      </w:pPr>
      <w:r>
        <w:t>MAFFT --auto selecciona FFT-NS-2 para ≤200 sequências (rápido mas aproximado). Para alinhamentos de maior qualidade, especialmente em genes com regiões muito divergentes, o algoritmo L-INS-i é mais preciso.</w:t>
      </w:r>
    </w:p>
    <w:p>
      <w:pPr>
        <w:pStyle w:val="ListBullet"/>
        <w:spacing w:after="60"/>
      </w:pPr>
      <w:r>
        <w:t>Quando alterar: se o alinhamento mostrar artefactos (gaps extensos em regiões conservadas)</w:t>
      </w:r>
    </w:p>
    <w:p>
      <w:pPr>
        <w:pStyle w:val="ListBullet"/>
        <w:spacing w:after="60"/>
      </w:pPr>
      <w:r>
        <w:t>Como alterar: substituir --auto por --localpair --maxiterate 1000 em align_mafft() no pipeline.py</w:t>
      </w:r>
    </w:p>
    <w:p>
      <w:pPr>
        <w:pStyle w:val="ListBullet"/>
        <w:spacing w:after="60"/>
      </w:pPr>
      <w:r>
        <w:t>Impacto: ~10x mais lento para 20 sequências, mas alinhamento significativamente melhor</w:t>
      </w:r>
    </w:p>
    <w:p>
      <w:pPr>
        <w:pStyle w:val="Heading2"/>
      </w:pPr>
      <w:r>
        <w:rPr>
          <w:color w:val="2E74B5"/>
        </w:rPr>
        <w:t>7.7 Calibração do Threshold seqfold</w:t>
      </w:r>
    </w:p>
    <w:p>
      <w:pPr>
        <w:spacing w:after="120"/>
      </w:pPr>
      <w:r>
        <w:t>O limiar de −6 kcal/mol não está calibrado contra dados experimentais. Os valores seqfold para probes que passaram o primer3 tipicamente situam-se entre −3 e −8 kcal/mol, dependendo da composição da sequência.</w:t>
      </w:r>
    </w:p>
    <w:p>
      <w:pPr>
        <w:pStyle w:val="ListBullet"/>
        <w:spacing w:after="60"/>
      </w:pPr>
      <w:r>
        <w:t>Se muitas probes boas são rejeitadas: aumentar para −8 kcal/mol</w:t>
      </w:r>
    </w:p>
    <w:p>
      <w:pPr>
        <w:pStyle w:val="ListBullet"/>
        <w:spacing w:after="60"/>
      </w:pPr>
      <w:r>
        <w:t>Se probes com estrutura secundária passam na validação experimental: reduzir para −4 kcal/mol</w:t>
      </w:r>
    </w:p>
    <w:p>
      <w:pPr>
        <w:pStyle w:val="ListBullet"/>
        <w:spacing w:after="60"/>
      </w:pPr>
      <w:r>
        <w:t>Parâmetro a ajustar: nupack_dg_max em DEFAULTS no pipeline.py</w:t>
      </w:r>
    </w:p>
    <w:p>
      <w:pPr>
        <w:pStyle w:val="Heading2"/>
      </w:pPr>
      <w:r>
        <w:rPr>
          <w:color w:val="2E74B5"/>
        </w:rPr>
        <w:t>7.8 Ajuste do algD (Pseudomonas aeruginosa)</w:t>
      </w:r>
    </w:p>
    <w:p>
      <w:pPr>
        <w:spacing w:after="120"/>
      </w:pPr>
      <w:r>
        <w:t>Na corrida actual, algD obtém apenas 2 sequências do NCBI com os critérios actuais (500–2500 bp), resultando em 0 janelas candidatas aprovadas. O gene algD tem comprimento variável e as queries actuais podem ser demasiado restritivas.</w:t>
      </w:r>
    </w:p>
    <w:p>
      <w:pPr>
        <w:pStyle w:val="ListBullet"/>
        <w:spacing w:after="60"/>
      </w:pPr>
      <w:r>
        <w:t>Solução imediata: alargar o filtro de comprimento para min_len=200, max_len=5000 em TARGETS para algD</w:t>
      </w:r>
    </w:p>
    <w:p>
      <w:pPr>
        <w:pStyle w:val="ListBullet"/>
        <w:spacing w:after="60"/>
      </w:pPr>
      <w:r>
        <w:t>Alternativa: adicionar query adicional por "alginate biosynthesis" ou por accession de referência directo</w:t>
      </w:r>
    </w:p>
    <w:p>
      <w:pPr>
        <w:pStyle w:val="Heading1"/>
      </w:pPr>
      <w:r>
        <w:rPr>
          <w:color w:val="1F497D"/>
        </w:rPr>
        <w:t>8. Modo de Uso</w:t>
      </w:r>
    </w:p>
    <w:p>
      <w:pPr>
        <w:pStyle w:val="Heading2"/>
      </w:pPr>
      <w:r>
        <w:rPr>
          <w:color w:val="2E74B5"/>
        </w:rPr>
        <w:t>8.1 Pré-requisitos</w:t>
      </w:r>
    </w:p>
    <w:p>
      <w:pPr>
        <w:spacing w:after="120"/>
      </w:pPr>
      <w:r>
        <w:t>Instalar todas as dependências Python:</w:t>
      </w:r>
    </w:p>
    <w:p>
      <w:r>
        <w:rPr>
          <w:rFonts w:ascii="Courier New" w:hAnsi="Courier New"/>
        </w:rPr>
        <w:t>pip install biopython primer3-py pandas requests pyyaml seqfold openpyxl boltz</w:t>
      </w:r>
    </w:p>
    <w:p>
      <w:pPr>
        <w:spacing w:after="120"/>
      </w:pPr>
      <w:r>
        <w:t>MAFFT deve estar instalado e acessível (pasta MAFFT/ no projecto ou em PATH).</w:t>
      </w:r>
    </w:p>
    <w:p>
      <w:pPr>
        <w:pStyle w:val="Heading2"/>
      </w:pPr>
      <w:r>
        <w:rPr>
          <w:color w:val="2E74B5"/>
        </w:rPr>
        <w:t>8.2 Comandos</w:t>
      </w:r>
    </w:p>
    <w:p>
      <w:pPr>
        <w:spacing w:after="40"/>
      </w:pPr>
      <w:r>
        <w:rPr>
          <w:b/>
        </w:rPr>
        <w:t>Pipeline completo com top-5 por gene para Boltz-2 (recomendado):</w:t>
      </w:r>
    </w:p>
    <w:p>
      <w:pPr>
        <w:spacing w:after="120"/>
        <w:ind w:left="567"/>
      </w:pPr>
      <w:r>
        <w:rPr>
          <w:rFonts w:ascii="Courier New" w:hAnsi="Courier New"/>
          <w:sz w:val="20"/>
        </w:rPr>
        <w:t>python pipeline.py</w:t>
      </w:r>
    </w:p>
    <w:p>
      <w:pPr>
        <w:spacing w:after="40"/>
      </w:pPr>
      <w:r>
        <w:rPr>
          <w:b/>
        </w:rPr>
        <w:t>Só scoring (sem 3D, muito mais rápido):</w:t>
      </w:r>
    </w:p>
    <w:p>
      <w:pPr>
        <w:spacing w:after="120"/>
        <w:ind w:left="567"/>
      </w:pPr>
      <w:r>
        <w:rPr>
          <w:rFonts w:ascii="Courier New" w:hAnsi="Courier New"/>
          <w:sz w:val="20"/>
        </w:rPr>
        <w:t>python pipeline.py --no-3d</w:t>
      </w:r>
    </w:p>
    <w:p>
      <w:pPr>
        <w:spacing w:after="40"/>
      </w:pPr>
      <w:r>
        <w:rPr>
          <w:b/>
        </w:rPr>
        <w:t>Limitar Boltz-2 a N probes por gene:</w:t>
      </w:r>
    </w:p>
    <w:p>
      <w:pPr>
        <w:spacing w:after="120"/>
        <w:ind w:left="567"/>
      </w:pPr>
      <w:r>
        <w:rPr>
          <w:rFonts w:ascii="Courier New" w:hAnsi="Courier New"/>
          <w:sz w:val="20"/>
        </w:rPr>
        <w:t>python pipeline.py --top-3d 3</w:t>
      </w:r>
    </w:p>
    <w:p>
      <w:pPr>
        <w:spacing w:after="40"/>
      </w:pPr>
      <w:r>
        <w:rPr>
          <w:b/>
        </w:rPr>
        <w:t>Boltz-2 standalone nas probes que passaram seqfold:</w:t>
      </w:r>
    </w:p>
    <w:p>
      <w:pPr>
        <w:spacing w:after="120"/>
        <w:ind w:left="567"/>
      </w:pPr>
      <w:r>
        <w:rPr>
          <w:rFonts w:ascii="Courier New" w:hAnsi="Courier New"/>
          <w:sz w:val="20"/>
        </w:rPr>
        <w:t>python scripts/boltz2_predict.py --filter nupack --samples 1 --accelerator cpu</w:t>
      </w:r>
    </w:p>
    <w:p>
      <w:pPr>
        <w:pStyle w:val="Heading1"/>
      </w:pPr>
      <w:r>
        <w:rPr>
          <w:color w:val="1F497D"/>
        </w:rPr>
        <w:t>9. Referências Bibliográficas</w:t>
      </w:r>
    </w:p>
    <w:p>
      <w:pPr>
        <w:pStyle w:val="ListNumber"/>
        <w:spacing w:after="60"/>
      </w:pPr>
      <w:r/>
      <w:r>
        <w:rPr>
          <w:sz w:val="20"/>
        </w:rPr>
        <w:t>Appaturi, J.N. et al. (2013). A comparative study of the electrochemical detection of rmpM with reduced graphene oxide-polyamidoamine nanocomposite. Biosensors and Bioelectronics.</w:t>
      </w:r>
    </w:p>
    <w:p>
      <w:pPr>
        <w:pStyle w:val="ListNumber"/>
        <w:spacing w:after="60"/>
      </w:pPr>
      <w:r/>
      <w:r>
        <w:rPr>
          <w:sz w:val="20"/>
        </w:rPr>
        <w:t>Hamelryck, T. &amp; Manderick, B. (2003). PDB file parser and structure class implemented in Python. Bioinformatics, 19(17), 2308–2310.</w:t>
      </w:r>
    </w:p>
    <w:p>
      <w:pPr>
        <w:pStyle w:val="ListNumber"/>
        <w:spacing w:after="60"/>
      </w:pPr>
      <w:r/>
      <w:r>
        <w:rPr>
          <w:sz w:val="20"/>
        </w:rPr>
        <w:t>IDT OligoAnalyzer Tool. Integrated DNA Technologies. https://www.idtdna.com/calc/analyzer</w:t>
      </w:r>
    </w:p>
    <w:p>
      <w:pPr>
        <w:pStyle w:val="ListNumber"/>
        <w:spacing w:after="60"/>
      </w:pPr>
      <w:r/>
      <w:r>
        <w:rPr>
          <w:sz w:val="20"/>
        </w:rPr>
        <w:t>Katoh, K. &amp; Standley, D.M. (2013). MAFFT multiple sequence alignment software version 7. Molecular Biology and Evolution, 30(4), 772–780.</w:t>
      </w:r>
    </w:p>
    <w:p>
      <w:pPr>
        <w:pStyle w:val="ListNumber"/>
        <w:spacing w:after="60"/>
      </w:pPr>
      <w:r/>
      <w:r>
        <w:rPr>
          <w:sz w:val="20"/>
        </w:rPr>
        <w:t>Nussinov, R. &amp; Jacobson, A.B. (1980). Fast algorithm for predicting the secondary structure of single-stranded RNA. PNAS, 77(11), 6309–6313.</w:t>
      </w:r>
    </w:p>
    <w:p>
      <w:pPr>
        <w:pStyle w:val="ListNumber"/>
        <w:spacing w:after="60"/>
      </w:pPr>
      <w:r/>
      <w:r>
        <w:rPr>
          <w:sz w:val="20"/>
        </w:rPr>
        <w:t>Purwidyantri, A. et al. (2021). Graphene-based biosensor for S. aureus nuc gene detection. Biosensors, 11(4), 114.</w:t>
      </w:r>
    </w:p>
    <w:p>
      <w:pPr>
        <w:pStyle w:val="ListNumber"/>
        <w:spacing w:after="60"/>
      </w:pPr>
      <w:r/>
      <w:r>
        <w:rPr>
          <w:sz w:val="20"/>
        </w:rPr>
        <w:t>SantaLucia, J. &amp; Hicks, D. (2004). The thermodynamics of DNA structural motifs. Annual Review of Biophysics and Biomolecular Structure, 33, 415–440.</w:t>
      </w:r>
    </w:p>
    <w:p>
      <w:pPr>
        <w:pStyle w:val="ListNumber"/>
        <w:spacing w:after="60"/>
      </w:pPr>
      <w:r/>
      <w:r>
        <w:rPr>
          <w:sz w:val="20"/>
        </w:rPr>
        <w:t>Stover, C.K. et al. (2000). Complete genome sequence of Pseudomonas aeruginosa PAO1. Nature, 406(6799), 959–964.</w:t>
      </w:r>
    </w:p>
    <w:p>
      <w:pPr>
        <w:pStyle w:val="ListNumber"/>
        <w:spacing w:after="60"/>
      </w:pPr>
      <w:r/>
      <w:r>
        <w:rPr>
          <w:sz w:val="20"/>
        </w:rPr>
        <w:t>Wetmur, J.G. (1991). DNA probes: applications of the principles of nucleic acid hybridization. Critical Reviews in Biochemistry and Molecular Biology, 26(3-4), 227–259.</w:t>
      </w:r>
    </w:p>
    <w:p>
      <w:pPr>
        <w:pStyle w:val="ListNumber"/>
        <w:spacing w:after="60"/>
      </w:pPr>
      <w:r/>
      <w:r>
        <w:rPr>
          <w:sz w:val="20"/>
        </w:rPr>
        <w:t>Whatmore, A.M. et al. (2000). Diversity of lytA genes in clinical isolates of Streptococcus pneumoniae. Journal of Clinical Microbiology, 38(12), 4617–4619.</w:t>
      </w:r>
    </w:p>
    <w:p>
      <w:pPr>
        <w:pStyle w:val="ListNumber"/>
        <w:spacing w:after="60"/>
      </w:pPr>
      <w:r/>
      <w:r>
        <w:rPr>
          <w:sz w:val="20"/>
        </w:rPr>
        <w:t>Wohlwend, J. et al. (2024). Boltz-2: Towards Accurate and Efficient Biomolecular Structure Prediction. github.com/jwohlwend/boltz</w:t>
      </w:r>
    </w:p>
    <w:p>
      <w:pPr>
        <w:pStyle w:val="ListNumber"/>
        <w:spacing w:after="60"/>
      </w:pPr>
      <w:r/>
      <w:r>
        <w:rPr>
          <w:sz w:val="20"/>
        </w:rPr>
        <w:t>Zadeh, J.N. et al. (2011). NUPACK: Analysis and design of nucleic acid systems. Journal of Computational Chemistry, 32(1), 170–173.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