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1938528"/>
            <wp:docPr id="1" name="Picture 1"/>
            <wp:cNvGraphicFramePr>
              <a:graphicFrameLocks noChangeAspect="1"/>
            </wp:cNvGraphicFramePr>
            <a:graphic>
              <a:graphicData uri="http://schemas.openxmlformats.org/drawingml/2006/picture">
                <pic:pic>
                  <pic:nvPicPr>
                    <pic:cNvPr id="0" name="logo-CNPM-1.png"/>
                    <pic:cNvPicPr/>
                  </pic:nvPicPr>
                  <pic:blipFill>
                    <a:blip r:embed="rId11"/>
                    <a:stretch>
                      <a:fillRect/>
                    </a:stretch>
                  </pic:blipFill>
                  <pic:spPr>
                    <a:xfrm>
                      <a:off x="0" y="0"/>
                      <a:ext cx="2743200" cy="1938528"/>
                    </a:xfrm>
                    <a:prstGeom prst="rect"/>
                  </pic:spPr>
                </pic:pic>
              </a:graphicData>
            </a:graphic>
          </wp:inline>
        </w:drawing>
      </w:r>
    </w:p>
    <w:p/>
    <w:p/>
    <w:p>
      <w:pPr>
        <w:jc w:val="center"/>
      </w:pPr>
      <w:r>
        <w:rPr>
          <w:b/>
          <w:color w:val="273481"/>
          <w:sz w:val="48"/>
        </w:rPr>
        <w:t>SPÉCIFICATIONS FONCTIONNELLES DÉTAILLÉES</w:t>
      </w:r>
    </w:p>
    <w:p>
      <w:pPr>
        <w:jc w:val="center"/>
      </w:pPr>
      <w:r>
        <w:rPr>
          <w:b/>
          <w:color w:val="E30B1F"/>
          <w:sz w:val="30"/>
        </w:rPr>
        <w:t>Plateforme Web &amp; Mobile de gestion des membres, cotisations et services du CNPM</w:t>
      </w:r>
    </w:p>
    <w:p/>
    <w:tbl>
      <w:tblPr>
        <w:tblW w:type="auto" w:w="0"/>
        <w:jc w:val="center"/>
        <w:tblLayout w:type="fixed"/>
        <w:tblLook w:firstColumn="1" w:firstRow="1" w:lastColumn="0" w:lastRow="0" w:noHBand="0" w:noVBand="1" w:val="04A0"/>
        <w:tblBorders>
          <w:top w:val="nil" w:sz="0" w:space="0" w:color="FFFFFF"/>
          <w:start w:val="nil" w:sz="0" w:space="0" w:color="FFFFFF"/>
          <w:bottom w:val="nil" w:sz="0" w:space="0" w:color="FFFFFF"/>
          <w:end w:val="nil" w:sz="0" w:space="0" w:color="FFFFFF"/>
          <w:insideH w:val="nil" w:sz="0" w:space="0" w:color="FFFFFF"/>
          <w:insideV w:val="nil" w:sz="0" w:space="0" w:color="FFFFFF"/>
        </w:tblBorders>
      </w:tblPr>
      <w:tblGrid>
        <w:gridCol w:w="3024"/>
        <w:gridCol w:w="5472"/>
      </w:tblGrid>
      <w:tr>
        <w:tc>
          <w:tcPr>
            <w:tcW w:type="dxa" w:w="5083"/>
            <w:tcMar>
              <w:top w:w="100" w:type="dxa"/>
              <w:start w:w="130" w:type="dxa"/>
              <w:bottom w:w="100" w:type="dxa"/>
              <w:end w:w="130" w:type="dxa"/>
            </w:tcMar>
            <w:tcBorders>
              <w:bottom w:val="single" w:sz="4" w:space="0" w:color="D9DEE7"/>
            </w:tcBorders>
          </w:tcPr>
          <w:p>
            <w:r>
              <w:rPr>
                <w:b/>
                <w:color w:val="273481"/>
                <w:sz w:val="18"/>
              </w:rPr>
              <w:t>Organisation</w:t>
            </w:r>
          </w:p>
        </w:tc>
        <w:tc>
          <w:tcPr>
            <w:tcW w:type="dxa" w:w="5083"/>
            <w:tcMar>
              <w:top w:w="100" w:type="dxa"/>
              <w:start w:w="130" w:type="dxa"/>
              <w:bottom w:w="100" w:type="dxa"/>
              <w:end w:w="130" w:type="dxa"/>
            </w:tcMar>
            <w:tcBorders>
              <w:bottom w:val="single" w:sz="4" w:space="0" w:color="D9DEE7"/>
            </w:tcBorders>
          </w:tcPr>
          <w:p>
            <w:r>
              <w:t>Conseil National du Patronat du Mali (CNPM)</w:t>
            </w:r>
          </w:p>
        </w:tc>
      </w:tr>
      <w:tr>
        <w:tc>
          <w:tcPr>
            <w:tcW w:type="dxa" w:w="5083"/>
            <w:tcMar>
              <w:top w:w="100" w:type="dxa"/>
              <w:start w:w="130" w:type="dxa"/>
              <w:bottom w:w="100" w:type="dxa"/>
              <w:end w:w="130" w:type="dxa"/>
            </w:tcMar>
            <w:tcBorders>
              <w:bottom w:val="single" w:sz="4" w:space="0" w:color="D9DEE7"/>
            </w:tcBorders>
          </w:tcPr>
          <w:p>
            <w:r>
              <w:rPr>
                <w:b/>
                <w:color w:val="273481"/>
                <w:sz w:val="18"/>
              </w:rPr>
              <w:t>Document</w:t>
            </w:r>
          </w:p>
        </w:tc>
        <w:tc>
          <w:tcPr>
            <w:tcW w:type="dxa" w:w="5083"/>
            <w:tcMar>
              <w:top w:w="100" w:type="dxa"/>
              <w:start w:w="130" w:type="dxa"/>
              <w:bottom w:w="100" w:type="dxa"/>
              <w:end w:w="130" w:type="dxa"/>
            </w:tcMar>
            <w:tcBorders>
              <w:bottom w:val="single" w:sz="4" w:space="0" w:color="D9DEE7"/>
            </w:tcBorders>
          </w:tcPr>
          <w:p>
            <w:r>
              <w:t>Spécifications fonctionnelles détaillées</w:t>
            </w:r>
          </w:p>
        </w:tc>
      </w:tr>
      <w:tr>
        <w:tc>
          <w:tcPr>
            <w:tcW w:type="dxa" w:w="5083"/>
            <w:tcMar>
              <w:top w:w="100" w:type="dxa"/>
              <w:start w:w="130" w:type="dxa"/>
              <w:bottom w:w="100" w:type="dxa"/>
              <w:end w:w="130" w:type="dxa"/>
            </w:tcMar>
            <w:tcBorders>
              <w:bottom w:val="single" w:sz="4" w:space="0" w:color="D9DEE7"/>
            </w:tcBorders>
          </w:tcPr>
          <w:p>
            <w:r>
              <w:rPr>
                <w:b/>
                <w:color w:val="273481"/>
                <w:sz w:val="18"/>
              </w:rPr>
              <w:t>Version</w:t>
            </w:r>
          </w:p>
        </w:tc>
        <w:tc>
          <w:tcPr>
            <w:tcW w:type="dxa" w:w="5083"/>
            <w:tcMar>
              <w:top w:w="100" w:type="dxa"/>
              <w:start w:w="130" w:type="dxa"/>
              <w:bottom w:w="100" w:type="dxa"/>
              <w:end w:w="130" w:type="dxa"/>
            </w:tcMar>
            <w:tcBorders>
              <w:bottom w:val="single" w:sz="4" w:space="0" w:color="D9DEE7"/>
            </w:tcBorders>
          </w:tcPr>
          <w:p>
            <w:r>
              <w:t>1.1</w:t>
            </w:r>
          </w:p>
        </w:tc>
      </w:tr>
      <w:tr>
        <w:tc>
          <w:tcPr>
            <w:tcW w:type="dxa" w:w="5083"/>
            <w:tcMar>
              <w:top w:w="100" w:type="dxa"/>
              <w:start w:w="130" w:type="dxa"/>
              <w:bottom w:w="100" w:type="dxa"/>
              <w:end w:w="130" w:type="dxa"/>
            </w:tcMar>
            <w:tcBorders>
              <w:bottom w:val="single" w:sz="4" w:space="0" w:color="D9DEE7"/>
            </w:tcBorders>
          </w:tcPr>
          <w:p>
            <w:r>
              <w:rPr>
                <w:b/>
                <w:color w:val="273481"/>
                <w:sz w:val="18"/>
              </w:rPr>
              <w:t>Date</w:t>
            </w:r>
          </w:p>
        </w:tc>
        <w:tc>
          <w:tcPr>
            <w:tcW w:type="dxa" w:w="5083"/>
            <w:tcMar>
              <w:top w:w="100" w:type="dxa"/>
              <w:start w:w="130" w:type="dxa"/>
              <w:bottom w:w="100" w:type="dxa"/>
              <w:end w:w="130" w:type="dxa"/>
            </w:tcMar>
            <w:tcBorders>
              <w:bottom w:val="single" w:sz="4" w:space="0" w:color="D9DEE7"/>
            </w:tcBorders>
          </w:tcPr>
          <w:p>
            <w:r>
              <w:t>Juillet 2026</w:t>
            </w:r>
          </w:p>
        </w:tc>
      </w:tr>
      <w:tr>
        <w:tc>
          <w:tcPr>
            <w:tcW w:type="dxa" w:w="5083"/>
            <w:tcMar>
              <w:top w:w="100" w:type="dxa"/>
              <w:start w:w="130" w:type="dxa"/>
              <w:bottom w:w="100" w:type="dxa"/>
              <w:end w:w="130" w:type="dxa"/>
            </w:tcMar>
            <w:tcBorders>
              <w:bottom w:val="single" w:sz="4" w:space="0" w:color="D9DEE7"/>
            </w:tcBorders>
          </w:tcPr>
          <w:p>
            <w:r>
              <w:rPr>
                <w:b/>
                <w:color w:val="273481"/>
                <w:sz w:val="18"/>
              </w:rPr>
              <w:t>Statut</w:t>
            </w:r>
          </w:p>
        </w:tc>
        <w:tc>
          <w:tcPr>
            <w:tcW w:type="dxa" w:w="5083"/>
            <w:tcMar>
              <w:top w:w="100" w:type="dxa"/>
              <w:start w:w="130" w:type="dxa"/>
              <w:bottom w:w="100" w:type="dxa"/>
              <w:end w:w="130" w:type="dxa"/>
            </w:tcMar>
            <w:tcBorders>
              <w:bottom w:val="single" w:sz="4" w:space="0" w:color="D9DEE7"/>
            </w:tcBorders>
          </w:tcPr>
          <w:p>
            <w:r>
              <w:t>Proposition pour cadrage et validation - architecture PostgreSQL intégrée</w:t>
            </w:r>
          </w:p>
        </w:tc>
      </w:tr>
    </w:tbl>
    <w:p/>
    <w:p>
      <w:pPr>
        <w:jc w:val="center"/>
      </w:pPr>
      <w:r>
        <w:rPr>
          <w:b/>
          <w:color w:val="E30B1F"/>
          <w:sz w:val="20"/>
        </w:rPr>
        <w:t>CONFIDENTIEL - DOCUMENT DE TRAVAIL</w:t>
      </w:r>
    </w:p>
    <w:p>
      <w:pPr>
        <w:jc w:val="center"/>
      </w:pPr>
      <w:r>
        <w:rPr>
          <w:color w:val="5B6475"/>
          <w:sz w:val="16"/>
        </w:rPr>
        <w:t>Conçu à partir des Termes de Référence CNPM - Mission de digitalisation du recouvrement des cotisations, juin 2026.</w:t>
      </w:r>
    </w:p>
    <w:p>
      <w:r>
        <w:br w:type="page"/>
      </w:r>
    </w:p>
    <w:p>
      <w:pPr>
        <w:pStyle w:val="Heading1"/>
      </w:pPr>
      <w:r>
        <w:t>Table des matières</w:t>
      </w:r>
    </w:p>
    <w:tbl>
      <w:tblPr>
        <w:tblW w:type="auto" w:w="0"/>
        <w:tblLayout w:type="fixed"/>
        <w:tblLook w:firstColumn="1" w:firstRow="1" w:lastColumn="0" w:lastRow="0" w:noHBand="0" w:noVBand="1" w:val="04A0"/>
        <w:tblBorders>
          <w:top w:val="nil" w:sz="0" w:space="0" w:color="FFFFFF"/>
          <w:start w:val="nil" w:sz="0" w:space="0" w:color="FFFFFF"/>
          <w:bottom w:val="nil" w:sz="0" w:space="0" w:color="FFFFFF"/>
          <w:end w:val="nil" w:sz="0" w:space="0" w:color="FFFFFF"/>
          <w:insideH w:val="nil" w:sz="0" w:space="0" w:color="FFFFFF"/>
          <w:insideV w:val="nil" w:sz="0" w:space="0" w:color="FFFFFF"/>
        </w:tblBorders>
      </w:tblPr>
      <w:tblGrid>
        <w:gridCol w:w="8352"/>
        <w:gridCol w:w="864"/>
      </w:tblGrid>
      <w:tr>
        <w:tc>
          <w:tcPr>
            <w:tcW w:type="dxa" w:w="8352"/>
            <w:tcMar>
              <w:top w:w="50" w:type="dxa"/>
              <w:start w:w="0" w:type="dxa"/>
              <w:bottom w:w="50" w:type="dxa"/>
              <w:end w:w="0" w:type="dxa"/>
            </w:tcMar>
          </w:tcPr>
          <w:p>
            <w:pPr>
              <w:spacing w:before="0" w:after="0" w:line="240" w:lineRule="auto"/>
            </w:pPr>
            <w:r>
              <w:rPr>
                <w:rFonts w:ascii="Aptos" w:hAnsi="Aptos"/>
                <w:sz w:val="19"/>
              </w:rPr>
              <w:t>1. Cadre, objectifs et périmètre</w:t>
            </w:r>
          </w:p>
        </w:tc>
        <w:tc>
          <w:tcPr>
            <w:tcW w:type="dxa" w:w="864"/>
            <w:tcMar>
              <w:top w:w="50" w:type="dxa"/>
              <w:start w:w="0" w:type="dxa"/>
              <w:bottom w:w="50" w:type="dxa"/>
              <w:end w:w="0" w:type="dxa"/>
            </w:tcMar>
          </w:tcPr>
          <w:p>
            <w:pPr>
              <w:jc w:val="right"/>
            </w:pPr>
            <w:r>
              <w:rPr>
                <w:rFonts w:ascii="Aptos" w:hAnsi="Aptos"/>
                <w:sz w:val="21"/>
              </w:rPr>
              <w:t>3</w:t>
            </w:r>
          </w:p>
        </w:tc>
      </w:tr>
      <w:tr>
        <w:tc>
          <w:tcPr>
            <w:tcW w:type="dxa" w:w="8352"/>
            <w:tcMar>
              <w:top w:w="50" w:type="dxa"/>
              <w:start w:w="0" w:type="dxa"/>
              <w:bottom w:w="50" w:type="dxa"/>
              <w:end w:w="0" w:type="dxa"/>
            </w:tcMar>
          </w:tcPr>
          <w:p>
            <w:pPr>
              <w:spacing w:before="0" w:after="0" w:line="240" w:lineRule="auto"/>
            </w:pPr>
            <w:r>
              <w:rPr>
                <w:rFonts w:ascii="Aptos" w:hAnsi="Aptos"/>
                <w:sz w:val="19"/>
              </w:rPr>
              <w:t>2. Vision produit et principes directeurs</w:t>
            </w:r>
          </w:p>
        </w:tc>
        <w:tc>
          <w:tcPr>
            <w:tcW w:type="dxa" w:w="864"/>
            <w:tcMar>
              <w:top w:w="50" w:type="dxa"/>
              <w:start w:w="0" w:type="dxa"/>
              <w:bottom w:w="50" w:type="dxa"/>
              <w:end w:w="0" w:type="dxa"/>
            </w:tcMar>
          </w:tcPr>
          <w:p>
            <w:pPr>
              <w:jc w:val="right"/>
            </w:pPr>
            <w:r>
              <w:rPr>
                <w:rFonts w:ascii="Aptos" w:hAnsi="Aptos"/>
                <w:sz w:val="21"/>
              </w:rPr>
              <w:t>4</w:t>
            </w:r>
          </w:p>
        </w:tc>
      </w:tr>
      <w:tr>
        <w:tc>
          <w:tcPr>
            <w:tcW w:type="dxa" w:w="8352"/>
            <w:tcMar>
              <w:top w:w="50" w:type="dxa"/>
              <w:start w:w="0" w:type="dxa"/>
              <w:bottom w:w="50" w:type="dxa"/>
              <w:end w:w="0" w:type="dxa"/>
            </w:tcMar>
          </w:tcPr>
          <w:p>
            <w:pPr>
              <w:spacing w:before="0" w:after="0" w:line="240" w:lineRule="auto"/>
            </w:pPr>
            <w:r>
              <w:rPr>
                <w:rFonts w:ascii="Aptos" w:hAnsi="Aptos"/>
                <w:sz w:val="19"/>
              </w:rPr>
              <w:t>3. Parties prenantes et profils utilisateurs</w:t>
            </w:r>
          </w:p>
        </w:tc>
        <w:tc>
          <w:tcPr>
            <w:tcW w:type="dxa" w:w="864"/>
            <w:tcMar>
              <w:top w:w="50" w:type="dxa"/>
              <w:start w:w="0" w:type="dxa"/>
              <w:bottom w:w="50" w:type="dxa"/>
              <w:end w:w="0" w:type="dxa"/>
            </w:tcMar>
          </w:tcPr>
          <w:p>
            <w:pPr>
              <w:jc w:val="right"/>
            </w:pPr>
            <w:r>
              <w:rPr>
                <w:rFonts w:ascii="Aptos" w:hAnsi="Aptos"/>
                <w:sz w:val="21"/>
              </w:rPr>
              <w:t>6</w:t>
            </w:r>
          </w:p>
        </w:tc>
      </w:tr>
      <w:tr>
        <w:tc>
          <w:tcPr>
            <w:tcW w:type="dxa" w:w="8352"/>
            <w:tcMar>
              <w:top w:w="50" w:type="dxa"/>
              <w:start w:w="0" w:type="dxa"/>
              <w:bottom w:w="50" w:type="dxa"/>
              <w:end w:w="0" w:type="dxa"/>
            </w:tcMar>
          </w:tcPr>
          <w:p>
            <w:pPr>
              <w:spacing w:before="0" w:after="0" w:line="240" w:lineRule="auto"/>
            </w:pPr>
            <w:r>
              <w:rPr>
                <w:rFonts w:ascii="Aptos" w:hAnsi="Aptos"/>
                <w:sz w:val="19"/>
              </w:rPr>
              <w:t>4. Architecture fonctionnelle cible</w:t>
            </w:r>
          </w:p>
        </w:tc>
        <w:tc>
          <w:tcPr>
            <w:tcW w:type="dxa" w:w="864"/>
            <w:tcMar>
              <w:top w:w="50" w:type="dxa"/>
              <w:start w:w="0" w:type="dxa"/>
              <w:bottom w:w="50" w:type="dxa"/>
              <w:end w:w="0" w:type="dxa"/>
            </w:tcMar>
          </w:tcPr>
          <w:p>
            <w:pPr>
              <w:jc w:val="right"/>
            </w:pPr>
            <w:r>
              <w:rPr>
                <w:rFonts w:ascii="Aptos" w:hAnsi="Aptos"/>
                <w:sz w:val="21"/>
              </w:rPr>
              <w:t>7</w:t>
            </w:r>
          </w:p>
        </w:tc>
      </w:tr>
      <w:tr>
        <w:tc>
          <w:tcPr>
            <w:tcW w:type="dxa" w:w="8352"/>
            <w:tcMar>
              <w:top w:w="50" w:type="dxa"/>
              <w:start w:w="0" w:type="dxa"/>
              <w:bottom w:w="50" w:type="dxa"/>
              <w:end w:w="0" w:type="dxa"/>
            </w:tcMar>
          </w:tcPr>
          <w:p>
            <w:pPr>
              <w:spacing w:before="0" w:after="0" w:line="240" w:lineRule="auto"/>
            </w:pPr>
            <w:r>
              <w:rPr>
                <w:rFonts w:ascii="Aptos" w:hAnsi="Aptos"/>
                <w:sz w:val="19"/>
              </w:rPr>
              <w:t>5. Référentiels et administration</w:t>
            </w:r>
          </w:p>
        </w:tc>
        <w:tc>
          <w:tcPr>
            <w:tcW w:type="dxa" w:w="864"/>
            <w:tcMar>
              <w:top w:w="50" w:type="dxa"/>
              <w:start w:w="0" w:type="dxa"/>
              <w:bottom w:w="50" w:type="dxa"/>
              <w:end w:w="0" w:type="dxa"/>
            </w:tcMar>
          </w:tcPr>
          <w:p>
            <w:pPr>
              <w:jc w:val="right"/>
            </w:pPr>
            <w:r>
              <w:rPr>
                <w:rFonts w:ascii="Aptos" w:hAnsi="Aptos"/>
                <w:sz w:val="21"/>
              </w:rPr>
              <w:t>9</w:t>
            </w:r>
          </w:p>
        </w:tc>
      </w:tr>
      <w:tr>
        <w:tc>
          <w:tcPr>
            <w:tcW w:type="dxa" w:w="8352"/>
            <w:tcMar>
              <w:top w:w="50" w:type="dxa"/>
              <w:start w:w="0" w:type="dxa"/>
              <w:bottom w:w="50" w:type="dxa"/>
              <w:end w:w="0" w:type="dxa"/>
            </w:tcMar>
          </w:tcPr>
          <w:p>
            <w:pPr>
              <w:spacing w:before="0" w:after="0" w:line="240" w:lineRule="auto"/>
            </w:pPr>
            <w:r>
              <w:rPr>
                <w:rFonts w:ascii="Aptos" w:hAnsi="Aptos"/>
                <w:sz w:val="19"/>
              </w:rPr>
              <w:t>6. Gestion des membres et entreprises</w:t>
            </w:r>
          </w:p>
        </w:tc>
        <w:tc>
          <w:tcPr>
            <w:tcW w:type="dxa" w:w="864"/>
            <w:tcMar>
              <w:top w:w="50" w:type="dxa"/>
              <w:start w:w="0" w:type="dxa"/>
              <w:bottom w:w="50" w:type="dxa"/>
              <w:end w:w="0" w:type="dxa"/>
            </w:tcMar>
          </w:tcPr>
          <w:p>
            <w:pPr>
              <w:jc w:val="right"/>
            </w:pPr>
            <w:r>
              <w:rPr>
                <w:rFonts w:ascii="Aptos" w:hAnsi="Aptos"/>
                <w:sz w:val="21"/>
              </w:rPr>
              <w:t>10</w:t>
            </w:r>
          </w:p>
        </w:tc>
      </w:tr>
      <w:tr>
        <w:tc>
          <w:tcPr>
            <w:tcW w:type="dxa" w:w="8352"/>
            <w:tcMar>
              <w:top w:w="50" w:type="dxa"/>
              <w:start w:w="0" w:type="dxa"/>
              <w:bottom w:w="50" w:type="dxa"/>
              <w:end w:w="0" w:type="dxa"/>
            </w:tcMar>
          </w:tcPr>
          <w:p>
            <w:pPr>
              <w:spacing w:before="0" w:after="0" w:line="240" w:lineRule="auto"/>
            </w:pPr>
            <w:r>
              <w:rPr>
                <w:rFonts w:ascii="Aptos" w:hAnsi="Aptos"/>
                <w:sz w:val="19"/>
              </w:rPr>
              <w:t>7. Enrôlement, KYC et validation</w:t>
            </w:r>
          </w:p>
        </w:tc>
        <w:tc>
          <w:tcPr>
            <w:tcW w:type="dxa" w:w="864"/>
            <w:tcMar>
              <w:top w:w="50" w:type="dxa"/>
              <w:start w:w="0" w:type="dxa"/>
              <w:bottom w:w="50" w:type="dxa"/>
              <w:end w:w="0" w:type="dxa"/>
            </w:tcMar>
          </w:tcPr>
          <w:p>
            <w:pPr>
              <w:jc w:val="right"/>
            </w:pPr>
            <w:r>
              <w:rPr>
                <w:rFonts w:ascii="Aptos" w:hAnsi="Aptos"/>
                <w:sz w:val="21"/>
              </w:rPr>
              <w:t>12</w:t>
            </w:r>
          </w:p>
        </w:tc>
      </w:tr>
      <w:tr>
        <w:tc>
          <w:tcPr>
            <w:tcW w:type="dxa" w:w="8352"/>
            <w:tcMar>
              <w:top w:w="50" w:type="dxa"/>
              <w:start w:w="0" w:type="dxa"/>
              <w:bottom w:w="50" w:type="dxa"/>
              <w:end w:w="0" w:type="dxa"/>
            </w:tcMar>
          </w:tcPr>
          <w:p>
            <w:pPr>
              <w:spacing w:before="0" w:after="0" w:line="240" w:lineRule="auto"/>
            </w:pPr>
            <w:r>
              <w:rPr>
                <w:rFonts w:ascii="Aptos" w:hAnsi="Aptos"/>
                <w:sz w:val="19"/>
              </w:rPr>
              <w:t>8. Gestion des cotisations</w:t>
            </w:r>
          </w:p>
        </w:tc>
        <w:tc>
          <w:tcPr>
            <w:tcW w:type="dxa" w:w="864"/>
            <w:tcMar>
              <w:top w:w="50" w:type="dxa"/>
              <w:start w:w="0" w:type="dxa"/>
              <w:bottom w:w="50" w:type="dxa"/>
              <w:end w:w="0" w:type="dxa"/>
            </w:tcMar>
          </w:tcPr>
          <w:p>
            <w:pPr>
              <w:jc w:val="right"/>
            </w:pPr>
            <w:r>
              <w:rPr>
                <w:rFonts w:ascii="Aptos" w:hAnsi="Aptos"/>
                <w:sz w:val="21"/>
              </w:rPr>
              <w:t>14</w:t>
            </w:r>
          </w:p>
        </w:tc>
      </w:tr>
      <w:tr>
        <w:tc>
          <w:tcPr>
            <w:tcW w:type="dxa" w:w="8352"/>
            <w:tcMar>
              <w:top w:w="50" w:type="dxa"/>
              <w:start w:w="0" w:type="dxa"/>
              <w:bottom w:w="50" w:type="dxa"/>
              <w:end w:w="0" w:type="dxa"/>
            </w:tcMar>
          </w:tcPr>
          <w:p>
            <w:pPr>
              <w:spacing w:before="0" w:after="0" w:line="240" w:lineRule="auto"/>
            </w:pPr>
            <w:r>
              <w:rPr>
                <w:rFonts w:ascii="Aptos" w:hAnsi="Aptos"/>
                <w:sz w:val="19"/>
              </w:rPr>
              <w:t>9. Paiements, rapprochement et reçus</w:t>
            </w:r>
          </w:p>
        </w:tc>
        <w:tc>
          <w:tcPr>
            <w:tcW w:type="dxa" w:w="864"/>
            <w:tcMar>
              <w:top w:w="50" w:type="dxa"/>
              <w:start w:w="0" w:type="dxa"/>
              <w:bottom w:w="50" w:type="dxa"/>
              <w:end w:w="0" w:type="dxa"/>
            </w:tcMar>
          </w:tcPr>
          <w:p>
            <w:pPr>
              <w:jc w:val="right"/>
            </w:pPr>
            <w:r>
              <w:rPr>
                <w:rFonts w:ascii="Aptos" w:hAnsi="Aptos"/>
                <w:sz w:val="21"/>
              </w:rPr>
              <w:t>16</w:t>
            </w:r>
          </w:p>
        </w:tc>
      </w:tr>
      <w:tr>
        <w:tc>
          <w:tcPr>
            <w:tcW w:type="dxa" w:w="8352"/>
            <w:tcMar>
              <w:top w:w="50" w:type="dxa"/>
              <w:start w:w="0" w:type="dxa"/>
              <w:bottom w:w="50" w:type="dxa"/>
              <w:end w:w="0" w:type="dxa"/>
            </w:tcMar>
          </w:tcPr>
          <w:p>
            <w:pPr>
              <w:spacing w:before="0" w:after="0" w:line="240" w:lineRule="auto"/>
            </w:pPr>
            <w:r>
              <w:rPr>
                <w:rFonts w:ascii="Aptos" w:hAnsi="Aptos"/>
                <w:sz w:val="19"/>
              </w:rPr>
              <w:t>10. Recouvrement, relances et campagnes</w:t>
            </w:r>
          </w:p>
        </w:tc>
        <w:tc>
          <w:tcPr>
            <w:tcW w:type="dxa" w:w="864"/>
            <w:tcMar>
              <w:top w:w="50" w:type="dxa"/>
              <w:start w:w="0" w:type="dxa"/>
              <w:bottom w:w="50" w:type="dxa"/>
              <w:end w:w="0" w:type="dxa"/>
            </w:tcMar>
          </w:tcPr>
          <w:p>
            <w:pPr>
              <w:jc w:val="right"/>
            </w:pPr>
            <w:r>
              <w:rPr>
                <w:rFonts w:ascii="Aptos" w:hAnsi="Aptos"/>
                <w:sz w:val="21"/>
              </w:rPr>
              <w:t>18</w:t>
            </w:r>
          </w:p>
        </w:tc>
      </w:tr>
      <w:tr>
        <w:tc>
          <w:tcPr>
            <w:tcW w:type="dxa" w:w="8352"/>
            <w:tcMar>
              <w:top w:w="50" w:type="dxa"/>
              <w:start w:w="0" w:type="dxa"/>
              <w:bottom w:w="50" w:type="dxa"/>
              <w:end w:w="0" w:type="dxa"/>
            </w:tcMar>
          </w:tcPr>
          <w:p>
            <w:pPr>
              <w:spacing w:before="0" w:after="0" w:line="240" w:lineRule="auto"/>
            </w:pPr>
            <w:r>
              <w:rPr>
                <w:rFonts w:ascii="Aptos" w:hAnsi="Aptos"/>
                <w:sz w:val="19"/>
              </w:rPr>
              <w:t>11. Portail membre et application mobile</w:t>
            </w:r>
          </w:p>
        </w:tc>
        <w:tc>
          <w:tcPr>
            <w:tcW w:type="dxa" w:w="864"/>
            <w:tcMar>
              <w:top w:w="50" w:type="dxa"/>
              <w:start w:w="0" w:type="dxa"/>
              <w:bottom w:w="50" w:type="dxa"/>
              <w:end w:w="0" w:type="dxa"/>
            </w:tcMar>
          </w:tcPr>
          <w:p>
            <w:pPr>
              <w:jc w:val="right"/>
            </w:pPr>
            <w:r>
              <w:rPr>
                <w:rFonts w:ascii="Aptos" w:hAnsi="Aptos"/>
                <w:sz w:val="21"/>
              </w:rPr>
              <w:t>19</w:t>
            </w:r>
          </w:p>
        </w:tc>
      </w:tr>
      <w:tr>
        <w:tc>
          <w:tcPr>
            <w:tcW w:type="dxa" w:w="8352"/>
            <w:tcMar>
              <w:top w:w="50" w:type="dxa"/>
              <w:start w:w="0" w:type="dxa"/>
              <w:bottom w:w="50" w:type="dxa"/>
              <w:end w:w="0" w:type="dxa"/>
            </w:tcMar>
          </w:tcPr>
          <w:p>
            <w:pPr>
              <w:spacing w:before="0" w:after="0" w:line="240" w:lineRule="auto"/>
            </w:pPr>
            <w:r>
              <w:rPr>
                <w:rFonts w:ascii="Aptos" w:hAnsi="Aptos"/>
                <w:sz w:val="19"/>
              </w:rPr>
              <w:t>12. Requêtes, réclamations et services</w:t>
            </w:r>
          </w:p>
        </w:tc>
        <w:tc>
          <w:tcPr>
            <w:tcW w:type="dxa" w:w="864"/>
            <w:tcMar>
              <w:top w:w="50" w:type="dxa"/>
              <w:start w:w="0" w:type="dxa"/>
              <w:bottom w:w="50" w:type="dxa"/>
              <w:end w:w="0" w:type="dxa"/>
            </w:tcMar>
          </w:tcPr>
          <w:p>
            <w:pPr>
              <w:jc w:val="right"/>
            </w:pPr>
            <w:r>
              <w:rPr>
                <w:rFonts w:ascii="Aptos" w:hAnsi="Aptos"/>
                <w:sz w:val="21"/>
              </w:rPr>
              <w:t>21</w:t>
            </w:r>
          </w:p>
        </w:tc>
      </w:tr>
      <w:tr>
        <w:tc>
          <w:tcPr>
            <w:tcW w:type="dxa" w:w="8352"/>
            <w:tcMar>
              <w:top w:w="50" w:type="dxa"/>
              <w:start w:w="0" w:type="dxa"/>
              <w:bottom w:w="50" w:type="dxa"/>
              <w:end w:w="0" w:type="dxa"/>
            </w:tcMar>
          </w:tcPr>
          <w:p>
            <w:pPr>
              <w:spacing w:before="0" w:after="0" w:line="240" w:lineRule="auto"/>
            </w:pPr>
            <w:r>
              <w:rPr>
                <w:rFonts w:ascii="Aptos" w:hAnsi="Aptos"/>
                <w:sz w:val="19"/>
              </w:rPr>
              <w:t>13. Groupements professionnels et gouvernance</w:t>
            </w:r>
          </w:p>
        </w:tc>
        <w:tc>
          <w:tcPr>
            <w:tcW w:type="dxa" w:w="864"/>
            <w:tcMar>
              <w:top w:w="50" w:type="dxa"/>
              <w:start w:w="0" w:type="dxa"/>
              <w:bottom w:w="50" w:type="dxa"/>
              <w:end w:w="0" w:type="dxa"/>
            </w:tcMar>
          </w:tcPr>
          <w:p>
            <w:pPr>
              <w:jc w:val="right"/>
            </w:pPr>
            <w:r>
              <w:rPr>
                <w:rFonts w:ascii="Aptos" w:hAnsi="Aptos"/>
                <w:sz w:val="21"/>
              </w:rPr>
              <w:t>23</w:t>
            </w:r>
          </w:p>
        </w:tc>
      </w:tr>
      <w:tr>
        <w:tc>
          <w:tcPr>
            <w:tcW w:type="dxa" w:w="8352"/>
            <w:tcMar>
              <w:top w:w="50" w:type="dxa"/>
              <w:start w:w="0" w:type="dxa"/>
              <w:bottom w:w="50" w:type="dxa"/>
              <w:end w:w="0" w:type="dxa"/>
            </w:tcMar>
          </w:tcPr>
          <w:p>
            <w:pPr>
              <w:spacing w:before="0" w:after="0" w:line="240" w:lineRule="auto"/>
            </w:pPr>
            <w:r>
              <w:rPr>
                <w:rFonts w:ascii="Aptos" w:hAnsi="Aptos"/>
                <w:sz w:val="19"/>
              </w:rPr>
              <w:t>14. Primes et modèle de partage de revenus</w:t>
            </w:r>
          </w:p>
        </w:tc>
        <w:tc>
          <w:tcPr>
            <w:tcW w:type="dxa" w:w="864"/>
            <w:tcMar>
              <w:top w:w="50" w:type="dxa"/>
              <w:start w:w="0" w:type="dxa"/>
              <w:bottom w:w="50" w:type="dxa"/>
              <w:end w:w="0" w:type="dxa"/>
            </w:tcMar>
          </w:tcPr>
          <w:p>
            <w:pPr>
              <w:jc w:val="right"/>
            </w:pPr>
            <w:r>
              <w:rPr>
                <w:rFonts w:ascii="Aptos" w:hAnsi="Aptos"/>
                <w:sz w:val="21"/>
              </w:rPr>
              <w:t>23</w:t>
            </w:r>
          </w:p>
        </w:tc>
      </w:tr>
      <w:tr>
        <w:tc>
          <w:tcPr>
            <w:tcW w:type="dxa" w:w="8352"/>
            <w:tcMar>
              <w:top w:w="50" w:type="dxa"/>
              <w:start w:w="0" w:type="dxa"/>
              <w:bottom w:w="50" w:type="dxa"/>
              <w:end w:w="0" w:type="dxa"/>
            </w:tcMar>
          </w:tcPr>
          <w:p>
            <w:pPr>
              <w:spacing w:before="0" w:after="0" w:line="240" w:lineRule="auto"/>
            </w:pPr>
            <w:r>
              <w:rPr>
                <w:rFonts w:ascii="Aptos" w:hAnsi="Aptos"/>
                <w:sz w:val="19"/>
              </w:rPr>
              <w:t>15. GED, communication et événements</w:t>
            </w:r>
          </w:p>
        </w:tc>
        <w:tc>
          <w:tcPr>
            <w:tcW w:type="dxa" w:w="864"/>
            <w:tcMar>
              <w:top w:w="50" w:type="dxa"/>
              <w:start w:w="0" w:type="dxa"/>
              <w:bottom w:w="50" w:type="dxa"/>
              <w:end w:w="0" w:type="dxa"/>
            </w:tcMar>
          </w:tcPr>
          <w:p>
            <w:pPr>
              <w:jc w:val="right"/>
            </w:pPr>
            <w:r>
              <w:rPr>
                <w:rFonts w:ascii="Aptos" w:hAnsi="Aptos"/>
                <w:sz w:val="21"/>
              </w:rPr>
              <w:t>25</w:t>
            </w:r>
          </w:p>
        </w:tc>
      </w:tr>
      <w:tr>
        <w:tc>
          <w:tcPr>
            <w:tcW w:type="dxa" w:w="8352"/>
            <w:tcMar>
              <w:top w:w="50" w:type="dxa"/>
              <w:start w:w="0" w:type="dxa"/>
              <w:bottom w:w="50" w:type="dxa"/>
              <w:end w:w="0" w:type="dxa"/>
            </w:tcMar>
          </w:tcPr>
          <w:p>
            <w:pPr>
              <w:spacing w:before="0" w:after="0" w:line="240" w:lineRule="auto"/>
            </w:pPr>
            <w:r>
              <w:rPr>
                <w:rFonts w:ascii="Aptos" w:hAnsi="Aptos"/>
                <w:sz w:val="19"/>
              </w:rPr>
              <w:t>16. Décisionnel, tableaux de bord et reporting</w:t>
            </w:r>
          </w:p>
        </w:tc>
        <w:tc>
          <w:tcPr>
            <w:tcW w:type="dxa" w:w="864"/>
            <w:tcMar>
              <w:top w:w="50" w:type="dxa"/>
              <w:start w:w="0" w:type="dxa"/>
              <w:bottom w:w="50" w:type="dxa"/>
              <w:end w:w="0" w:type="dxa"/>
            </w:tcMar>
          </w:tcPr>
          <w:p>
            <w:pPr>
              <w:jc w:val="right"/>
            </w:pPr>
            <w:r>
              <w:rPr>
                <w:rFonts w:ascii="Aptos" w:hAnsi="Aptos"/>
                <w:sz w:val="21"/>
              </w:rPr>
              <w:t>26</w:t>
            </w:r>
          </w:p>
        </w:tc>
      </w:tr>
      <w:tr>
        <w:tc>
          <w:tcPr>
            <w:tcW w:type="dxa" w:w="8352"/>
            <w:tcMar>
              <w:top w:w="50" w:type="dxa"/>
              <w:start w:w="0" w:type="dxa"/>
              <w:bottom w:w="50" w:type="dxa"/>
              <w:end w:w="0" w:type="dxa"/>
            </w:tcMar>
          </w:tcPr>
          <w:p>
            <w:pPr>
              <w:spacing w:before="0" w:after="0" w:line="240" w:lineRule="auto"/>
            </w:pPr>
            <w:r>
              <w:rPr>
                <w:rFonts w:ascii="Aptos" w:hAnsi="Aptos"/>
                <w:sz w:val="19"/>
              </w:rPr>
              <w:t>17. Sécurité, audit et exigences non fonctionnelles</w:t>
            </w:r>
          </w:p>
        </w:tc>
        <w:tc>
          <w:tcPr>
            <w:tcW w:type="dxa" w:w="864"/>
            <w:tcMar>
              <w:top w:w="50" w:type="dxa"/>
              <w:start w:w="0" w:type="dxa"/>
              <w:bottom w:w="50" w:type="dxa"/>
              <w:end w:w="0" w:type="dxa"/>
            </w:tcMar>
          </w:tcPr>
          <w:p>
            <w:pPr>
              <w:jc w:val="right"/>
            </w:pPr>
            <w:r>
              <w:rPr>
                <w:rFonts w:ascii="Aptos" w:hAnsi="Aptos"/>
                <w:sz w:val="21"/>
              </w:rPr>
              <w:t>29</w:t>
            </w:r>
          </w:p>
        </w:tc>
      </w:tr>
      <w:tr>
        <w:tc>
          <w:tcPr>
            <w:tcW w:type="dxa" w:w="8352"/>
            <w:tcMar>
              <w:top w:w="50" w:type="dxa"/>
              <w:start w:w="0" w:type="dxa"/>
              <w:bottom w:w="50" w:type="dxa"/>
              <w:end w:w="0" w:type="dxa"/>
            </w:tcMar>
          </w:tcPr>
          <w:p>
            <w:r>
              <w:t>18. Intégrations, interopérabilité et architecture technique</w:t>
            </w:r>
          </w:p>
        </w:tc>
        <w:tc>
          <w:tcPr>
            <w:tcW w:type="dxa" w:w="864"/>
            <w:tcMar>
              <w:top w:w="50" w:type="dxa"/>
              <w:start w:w="0" w:type="dxa"/>
              <w:bottom w:w="50" w:type="dxa"/>
              <w:end w:w="0" w:type="dxa"/>
            </w:tcMar>
          </w:tcPr>
          <w:p>
            <w:pPr>
              <w:jc w:val="right"/>
            </w:pPr>
            <w:r>
              <w:rPr>
                <w:rFonts w:ascii="Aptos" w:hAnsi="Aptos"/>
                <w:sz w:val="21"/>
              </w:rPr>
              <w:t>32</w:t>
            </w:r>
          </w:p>
        </w:tc>
      </w:tr>
      <w:tr>
        <w:tc>
          <w:tcPr>
            <w:tcW w:type="dxa" w:w="8352"/>
            <w:tcMar>
              <w:top w:w="50" w:type="dxa"/>
              <w:start w:w="0" w:type="dxa"/>
              <w:bottom w:w="50" w:type="dxa"/>
              <w:end w:w="0" w:type="dxa"/>
            </w:tcMar>
          </w:tcPr>
          <w:p>
            <w:r>
              <w:t>19. Règles de gestion transverses</w:t>
            </w:r>
          </w:p>
        </w:tc>
        <w:tc>
          <w:tcPr>
            <w:tcW w:type="dxa" w:w="864"/>
            <w:tcMar>
              <w:top w:w="50" w:type="dxa"/>
              <w:start w:w="0" w:type="dxa"/>
              <w:bottom w:w="50" w:type="dxa"/>
              <w:end w:w="0" w:type="dxa"/>
            </w:tcMar>
          </w:tcPr>
          <w:p>
            <w:pPr>
              <w:jc w:val="right"/>
            </w:pPr>
            <w:r>
              <w:rPr>
                <w:rFonts w:ascii="Aptos" w:hAnsi="Aptos"/>
                <w:sz w:val="21"/>
              </w:rPr>
              <w:t>40</w:t>
            </w:r>
          </w:p>
        </w:tc>
      </w:tr>
      <w:tr>
        <w:tc>
          <w:tcPr>
            <w:tcW w:type="dxa" w:w="8352"/>
            <w:tcMar>
              <w:top w:w="50" w:type="dxa"/>
              <w:start w:w="0" w:type="dxa"/>
              <w:bottom w:w="50" w:type="dxa"/>
              <w:end w:w="0" w:type="dxa"/>
            </w:tcMar>
          </w:tcPr>
          <w:p>
            <w:r>
              <w:t>20. PoC, déploiement et recette</w:t>
            </w:r>
          </w:p>
        </w:tc>
        <w:tc>
          <w:tcPr>
            <w:tcW w:type="dxa" w:w="864"/>
            <w:tcMar>
              <w:top w:w="50" w:type="dxa"/>
              <w:start w:w="0" w:type="dxa"/>
              <w:bottom w:w="50" w:type="dxa"/>
              <w:end w:w="0" w:type="dxa"/>
            </w:tcMar>
          </w:tcPr>
          <w:p>
            <w:pPr>
              <w:jc w:val="right"/>
            </w:pPr>
            <w:r>
              <w:rPr>
                <w:rFonts w:ascii="Aptos" w:hAnsi="Aptos"/>
                <w:sz w:val="21"/>
              </w:rPr>
              <w:t>42</w:t>
            </w:r>
          </w:p>
        </w:tc>
      </w:tr>
      <w:tr>
        <w:tc>
          <w:tcPr>
            <w:tcW w:type="dxa" w:w="8352"/>
            <w:tcMar>
              <w:top w:w="50" w:type="dxa"/>
              <w:start w:w="0" w:type="dxa"/>
              <w:bottom w:w="50" w:type="dxa"/>
              <w:end w:w="0" w:type="dxa"/>
            </w:tcMar>
          </w:tcPr>
          <w:p>
            <w:r>
              <w:t>21. Modèle de données conceptuel</w:t>
            </w:r>
          </w:p>
        </w:tc>
        <w:tc>
          <w:tcPr>
            <w:tcW w:type="dxa" w:w="864"/>
            <w:tcMar>
              <w:top w:w="50" w:type="dxa"/>
              <w:start w:w="0" w:type="dxa"/>
              <w:bottom w:w="50" w:type="dxa"/>
              <w:end w:w="0" w:type="dxa"/>
            </w:tcMar>
          </w:tcPr>
          <w:p>
            <w:pPr>
              <w:jc w:val="right"/>
            </w:pPr>
            <w:r>
              <w:rPr>
                <w:rFonts w:ascii="Aptos" w:hAnsi="Aptos"/>
                <w:sz w:val="21"/>
              </w:rPr>
              <w:t>44</w:t>
            </w:r>
          </w:p>
        </w:tc>
      </w:tr>
      <w:tr>
        <w:tc>
          <w:tcPr>
            <w:tcW w:type="dxa" w:w="8352"/>
            <w:tcMar>
              <w:top w:w="50" w:type="dxa"/>
              <w:start w:w="0" w:type="dxa"/>
              <w:bottom w:w="50" w:type="dxa"/>
              <w:end w:w="0" w:type="dxa"/>
            </w:tcMar>
          </w:tcPr>
          <w:p>
            <w:r>
              <w:t>22. Matrice de traçabilité et annexes</w:t>
            </w:r>
          </w:p>
        </w:tc>
        <w:tc>
          <w:tcPr>
            <w:tcW w:type="dxa" w:w="864"/>
            <w:tcMar>
              <w:top w:w="50" w:type="dxa"/>
              <w:start w:w="0" w:type="dxa"/>
              <w:bottom w:w="50" w:type="dxa"/>
              <w:end w:w="0" w:type="dxa"/>
            </w:tcMar>
          </w:tcPr>
          <w:p>
            <w:pPr>
              <w:jc w:val="right"/>
            </w:pPr>
            <w:r>
              <w:rPr>
                <w:rFonts w:ascii="Aptos" w:hAnsi="Aptos"/>
                <w:sz w:val="21"/>
              </w:rPr>
              <w:t>46</w:t>
            </w:r>
          </w:p>
        </w:tc>
      </w:tr>
    </w:tbl>
    <w:tbl>
      <w:tblPr>
        <w:tblW w:type="auto" w:w="0"/>
        <w:jc w:val="center"/>
        <w:tblLayout w:type="fixed"/>
        <w:tblLook w:firstColumn="1" w:firstRow="1" w:lastColumn="0" w:lastRow="0" w:noHBand="0" w:noVBand="1" w:val="04A0"/>
        <w:tblBorders>
          <w:top w:val="nil" w:sz="0" w:space="0" w:color="FFFFFF"/>
          <w:start w:val="nil" w:sz="0" w:space="0" w:color="FFFFFF"/>
          <w:bottom w:val="nil" w:sz="0" w:space="0" w:color="FFFFFF"/>
          <w:end w:val="nil" w:sz="0" w:space="0" w:color="FFFFFF"/>
          <w:insideH w:val="nil" w:sz="0" w:space="0" w:color="FFFFFF"/>
          <w:insideV w:val="nil" w:sz="0" w:space="0" w:color="FFFFFF"/>
        </w:tblBorders>
      </w:tblPr>
      <w:tblGrid>
        <w:gridCol w:w="144"/>
        <w:gridCol w:w="9144"/>
      </w:tblGrid>
      <w:tr>
        <w:tc>
          <w:tcPr>
            <w:tcW w:type="dxa" w:w="5083"/>
          </w:tcPr>
          <w:p/>
        </w:tc>
        <w:tc>
          <w:tcPr>
            <w:tcW w:type="dxa" w:w="5083"/>
            <w:tcMar>
              <w:top w:w="130" w:type="dxa"/>
              <w:start w:w="150" w:type="dxa"/>
              <w:bottom w:w="130" w:type="dxa"/>
              <w:end w:w="150" w:type="dxa"/>
            </w:tcMar>
          </w:tcPr>
          <w:p>
            <w:r>
              <w:rPr>
                <w:rFonts w:ascii="Aptos Display" w:hAnsi="Aptos Display"/>
                <w:b/>
                <w:color w:val="273A8B"/>
                <w:sz w:val="22"/>
              </w:rPr>
              <w:t>Note de lecture</w:t>
            </w:r>
          </w:p>
          <w:p>
            <w:pPr>
              <w:spacing w:after="0"/>
            </w:pPr>
            <w:r>
              <w:rPr>
                <w:rFonts w:ascii="Aptos" w:hAnsi="Aptos"/>
                <w:sz w:val="21"/>
              </w:rPr>
              <w:t>Pagination vérifiée pour cette version ; à actualiser après modification.</w:t>
            </w:r>
          </w:p>
        </w:tc>
      </w:tr>
    </w:tbl>
    <w:p>
      <w:pPr>
        <w:pStyle w:val="Heading1"/>
        <w:pageBreakBefore/>
      </w:pPr>
      <w:r>
        <w:t>1. Cadre, objectifs et périmètre</w:t>
      </w:r>
    </w:p>
    <w:p>
      <w:pPr>
        <w:spacing w:after="160"/>
      </w:pPr>
      <w:r>
        <w:rPr>
          <w:color w:val="5B6475"/>
          <w:sz w:val="21"/>
        </w:rPr>
        <w:t>Le présent document transforme les besoins des TDR du CNPM en exigences fonctionnelles, règles de gestion, parcours utilisateurs, contrôles, critères d’acceptation et exigences non fonctionnelles directement exploitables par une équipe produit, UX/UI, développement, sécurité, data et recette.</w:t>
      </w:r>
    </w:p>
    <w:p>
      <w:pPr>
        <w:pStyle w:val="Heading2"/>
      </w:pPr>
      <w:r>
        <w:t>1.1 Contexte métier</w:t>
      </w:r>
    </w:p>
    <w:p>
      <w:r>
        <w:t>Les cotisations représentent la principale source de revenus propres du CNPM. Les TDR signalent une concentration élevée des encaissements, une baisse de 781 millions FCFA en 2023 à 361 millions FCFA en 2025 et des processus encore largement manuels. La plateforme cible doit donc sécuriser le cycle complet allant de l’identification d’une entreprise jusqu’au reçu officiel, tout en renforçant la mobilisation, la fidélisation et la connaissance de la base membre.</w:t>
      </w:r>
    </w:p>
    <w:tbl>
      <w:tblPr>
        <w:tblW w:type="auto" w:w="0"/>
        <w:jc w:val="center"/>
        <w:tblLayout w:type="fixed"/>
        <w:tblLook w:firstColumn="1" w:firstRow="1" w:lastColumn="0" w:lastRow="0" w:noHBand="0" w:noVBand="1" w:val="04A0"/>
        <w:tblBorders>
          <w:top w:val="nil" w:sz="0" w:space="0" w:color="FFFFFF"/>
          <w:start w:val="nil" w:sz="0" w:space="0" w:color="FFFFFF"/>
          <w:bottom w:val="nil" w:sz="0" w:space="0" w:color="FFFFFF"/>
          <w:end w:val="nil" w:sz="0" w:space="0" w:color="FFFFFF"/>
          <w:insideH w:val="nil" w:sz="0" w:space="0" w:color="FFFFFF"/>
          <w:insideV w:val="nil" w:sz="0" w:space="0" w:color="FFFFFF"/>
        </w:tblBorders>
      </w:tblPr>
      <w:tblGrid>
        <w:gridCol w:w="144"/>
        <w:gridCol w:w="9144"/>
      </w:tblGrid>
      <w:tr>
        <w:tc>
          <w:tcPr>
            <w:tcW w:type="dxa" w:w="5083"/>
          </w:tcPr>
          <w:p/>
        </w:tc>
        <w:tc>
          <w:tcPr>
            <w:tcW w:type="dxa" w:w="5083"/>
            <w:tcMar>
              <w:top w:w="130" w:type="dxa"/>
              <w:start w:w="150" w:type="dxa"/>
              <w:bottom w:w="130" w:type="dxa"/>
              <w:end w:w="150" w:type="dxa"/>
            </w:tcMar>
          </w:tcPr>
          <w:p>
            <w:r>
              <w:rPr>
                <w:b/>
                <w:color w:val="E30B1F"/>
                <w:sz w:val="20"/>
              </w:rPr>
              <w:t>Exigence structurante</w:t>
            </w:r>
          </w:p>
          <w:p>
            <w:pPr>
              <w:spacing w:after="0"/>
            </w:pPr>
            <w:r>
              <w:t>Le CNPM demeure seul propriétaire des données, seul habilité à valider les enrôlements, les références de paiement, les confirmations et les reçus officiels. Le prestataire technique agit sans mandat de représentation institutionnelle.</w:t>
            </w:r>
          </w:p>
        </w:tc>
      </w:tr>
    </w:tbl>
    <w:p>
      <w:pPr>
        <w:spacing w:after="20"/>
      </w:pPr>
    </w:p>
    <w:p>
      <w:pPr>
        <w:pStyle w:val="Heading2"/>
      </w:pPr>
      <w:r>
        <w:t>1.2 Objectifs stratégiques</w:t>
      </w:r>
    </w:p>
    <w:p>
      <w:pPr>
        <w:pStyle w:val="ListBullet"/>
      </w:pPr>
      <w:r>
        <w:t>Digitaliser intégralement le cycle de vie des membres, prospects et cotisants.</w:t>
      </w:r>
    </w:p>
    <w:p>
      <w:pPr>
        <w:pStyle w:val="ListBullet"/>
      </w:pPr>
      <w:r>
        <w:t>Accroître le volume, la régularité et la diversification des cotisations encaissées.</w:t>
      </w:r>
    </w:p>
    <w:p>
      <w:pPr>
        <w:pStyle w:val="ListBullet"/>
      </w:pPr>
      <w:r>
        <w:t>Réduire les délais de relance, d’imputation, de rapprochement et de délivrance des reçus.</w:t>
      </w:r>
    </w:p>
    <w:p>
      <w:pPr>
        <w:pStyle w:val="ListBullet"/>
      </w:pPr>
      <w:r>
        <w:t>Offrir aux membres un portail de services moderne, transparent et accessible sur mobile.</w:t>
      </w:r>
    </w:p>
    <w:p>
      <w:pPr>
        <w:pStyle w:val="ListBullet"/>
      </w:pPr>
      <w:r>
        <w:t>Fournir à la Direction générale une vision décisionnelle temps réel, fiable et auditable.</w:t>
      </w:r>
    </w:p>
    <w:p>
      <w:pPr>
        <w:pStyle w:val="ListBullet"/>
      </w:pPr>
      <w:r>
        <w:t>Préparer l’interopérabilité avec l’INPS, les banques, Mobile Money et les systèmes futurs.</w:t>
      </w:r>
    </w:p>
    <w:p>
      <w:pPr>
        <w:pStyle w:val="Heading2"/>
      </w:pPr>
      <w:r>
        <w:t>1.3 Périmètre fonctionnel</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3389"/>
        <w:gridCol w:w="3389"/>
        <w:gridCol w:w="3389"/>
      </w:tblGrid>
      <w:tr>
        <w:trPr>
          <w:tblHeader w:val="true"/>
        </w:trPr>
        <w:tc>
          <w:tcPr>
            <w:tcW w:type="dxa" w:w="1944"/>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Domaine</w:t>
            </w:r>
          </w:p>
        </w:tc>
        <w:tc>
          <w:tcPr>
            <w:tcW w:type="dxa" w:w="4464"/>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Inclus dans la cible</w:t>
            </w:r>
          </w:p>
        </w:tc>
        <w:tc>
          <w:tcPr>
            <w:tcW w:type="dxa" w:w="324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Hors périmètre initial / option</w:t>
            </w:r>
          </w:p>
        </w:tc>
      </w:tr>
      <w:tr>
        <w:tc>
          <w:tcPr>
            <w:tcW w:type="dxa" w:w="1944"/>
            <w:tcMar>
              <w:top w:w="90" w:type="dxa"/>
              <w:start w:w="90" w:type="dxa"/>
              <w:bottom w:w="90" w:type="dxa"/>
              <w:end w:w="90" w:type="dxa"/>
            </w:tcMar>
            <w:vAlign w:val="top"/>
          </w:tcPr>
          <w:p>
            <w:r>
              <w:rPr>
                <w:sz w:val="17"/>
              </w:rPr>
              <w:t>Gestion des membres</w:t>
            </w:r>
          </w:p>
        </w:tc>
        <w:tc>
          <w:tcPr>
            <w:tcW w:type="dxa" w:w="4464"/>
            <w:tcMar>
              <w:top w:w="90" w:type="dxa"/>
              <w:start w:w="90" w:type="dxa"/>
              <w:bottom w:w="90" w:type="dxa"/>
              <w:end w:w="90" w:type="dxa"/>
            </w:tcMar>
            <w:vAlign w:val="top"/>
          </w:tcPr>
          <w:p>
            <w:r>
              <w:rPr>
                <w:sz w:val="17"/>
              </w:rPr>
              <w:t>Enrôlement, KYC, adhésion, catégories, historique, contacts, documents</w:t>
            </w:r>
          </w:p>
        </w:tc>
        <w:tc>
          <w:tcPr>
            <w:tcW w:type="dxa" w:w="3240"/>
            <w:tcMar>
              <w:top w:w="90" w:type="dxa"/>
              <w:start w:w="90" w:type="dxa"/>
              <w:bottom w:w="90" w:type="dxa"/>
              <w:end w:w="90" w:type="dxa"/>
            </w:tcMar>
            <w:vAlign w:val="top"/>
          </w:tcPr>
          <w:p>
            <w:r>
              <w:rPr>
                <w:sz w:val="17"/>
              </w:rPr>
              <w:t>Gestion complète de paie des entreprises membres</w:t>
            </w:r>
          </w:p>
        </w:tc>
      </w:tr>
      <w:tr>
        <w:tc>
          <w:tcPr>
            <w:tcW w:type="dxa" w:w="1944"/>
            <w:tcMar>
              <w:top w:w="90" w:type="dxa"/>
              <w:start w:w="90" w:type="dxa"/>
              <w:bottom w:w="90" w:type="dxa"/>
              <w:end w:w="90" w:type="dxa"/>
            </w:tcMar>
            <w:vAlign w:val="top"/>
          </w:tcPr>
          <w:p>
            <w:r>
              <w:rPr>
                <w:sz w:val="17"/>
              </w:rPr>
              <w:t>Cotisations</w:t>
            </w:r>
          </w:p>
        </w:tc>
        <w:tc>
          <w:tcPr>
            <w:tcW w:type="dxa" w:w="4464"/>
            <w:tcMar>
              <w:top w:w="90" w:type="dxa"/>
              <w:start w:w="90" w:type="dxa"/>
              <w:bottom w:w="90" w:type="dxa"/>
              <w:end w:w="90" w:type="dxa"/>
            </w:tcMar>
            <w:vAlign w:val="top"/>
          </w:tcPr>
          <w:p>
            <w:r>
              <w:rPr>
                <w:sz w:val="17"/>
              </w:rPr>
              <w:t>Barèmes, appels, échéanciers, paiements, rapprochements, reçus, relances</w:t>
            </w:r>
          </w:p>
        </w:tc>
        <w:tc>
          <w:tcPr>
            <w:tcW w:type="dxa" w:w="3240"/>
            <w:tcMar>
              <w:top w:w="90" w:type="dxa"/>
              <w:start w:w="90" w:type="dxa"/>
              <w:bottom w:w="90" w:type="dxa"/>
              <w:end w:w="90" w:type="dxa"/>
            </w:tcMar>
            <w:vAlign w:val="top"/>
          </w:tcPr>
          <w:p>
            <w:r>
              <w:rPr>
                <w:sz w:val="17"/>
              </w:rPr>
              <w:t>Comptabilité générale complète du CNPM</w:t>
            </w:r>
          </w:p>
        </w:tc>
      </w:tr>
      <w:tr>
        <w:tc>
          <w:tcPr>
            <w:tcW w:type="dxa" w:w="1944"/>
            <w:tcMar>
              <w:top w:w="90" w:type="dxa"/>
              <w:start w:w="90" w:type="dxa"/>
              <w:bottom w:w="90" w:type="dxa"/>
              <w:end w:w="90" w:type="dxa"/>
            </w:tcMar>
            <w:vAlign w:val="top"/>
          </w:tcPr>
          <w:p>
            <w:r>
              <w:rPr>
                <w:sz w:val="17"/>
              </w:rPr>
              <w:t>Portail membre</w:t>
            </w:r>
          </w:p>
        </w:tc>
        <w:tc>
          <w:tcPr>
            <w:tcW w:type="dxa" w:w="4464"/>
            <w:tcMar>
              <w:top w:w="90" w:type="dxa"/>
              <w:start w:w="90" w:type="dxa"/>
              <w:bottom w:w="90" w:type="dxa"/>
              <w:end w:w="90" w:type="dxa"/>
            </w:tcMar>
            <w:vAlign w:val="top"/>
          </w:tcPr>
          <w:p>
            <w:r>
              <w:rPr>
                <w:sz w:val="17"/>
              </w:rPr>
              <w:t>Situation de compte, paiements, attestations, requêtes, documents, événements</w:t>
            </w:r>
          </w:p>
        </w:tc>
        <w:tc>
          <w:tcPr>
            <w:tcW w:type="dxa" w:w="3240"/>
            <w:tcMar>
              <w:top w:w="90" w:type="dxa"/>
              <w:start w:w="90" w:type="dxa"/>
              <w:bottom w:w="90" w:type="dxa"/>
              <w:end w:w="90" w:type="dxa"/>
            </w:tcMar>
            <w:vAlign w:val="top"/>
          </w:tcPr>
          <w:p>
            <w:r>
              <w:rPr>
                <w:sz w:val="17"/>
              </w:rPr>
              <w:t>Marketplace B2B avancée en phase initiale</w:t>
            </w:r>
          </w:p>
        </w:tc>
      </w:tr>
      <w:tr>
        <w:tc>
          <w:tcPr>
            <w:tcW w:type="dxa" w:w="1944"/>
            <w:tcMar>
              <w:top w:w="90" w:type="dxa"/>
              <w:start w:w="90" w:type="dxa"/>
              <w:bottom w:w="90" w:type="dxa"/>
              <w:end w:w="90" w:type="dxa"/>
            </w:tcMar>
            <w:vAlign w:val="top"/>
          </w:tcPr>
          <w:p>
            <w:r>
              <w:rPr>
                <w:sz w:val="17"/>
              </w:rPr>
              <w:t>Gouvernance</w:t>
            </w:r>
          </w:p>
        </w:tc>
        <w:tc>
          <w:tcPr>
            <w:tcW w:type="dxa" w:w="4464"/>
            <w:tcMar>
              <w:top w:w="90" w:type="dxa"/>
              <w:start w:w="90" w:type="dxa"/>
              <w:bottom w:w="90" w:type="dxa"/>
              <w:end w:w="90" w:type="dxa"/>
            </w:tcMar>
            <w:vAlign w:val="top"/>
          </w:tcPr>
          <w:p>
            <w:r>
              <w:rPr>
                <w:sz w:val="17"/>
              </w:rPr>
              <w:t>Groupements, commissions, mandats, réunions, votes, décisions</w:t>
            </w:r>
          </w:p>
        </w:tc>
        <w:tc>
          <w:tcPr>
            <w:tcW w:type="dxa" w:w="3240"/>
            <w:tcMar>
              <w:top w:w="90" w:type="dxa"/>
              <w:start w:w="90" w:type="dxa"/>
              <w:bottom w:w="90" w:type="dxa"/>
              <w:end w:w="90" w:type="dxa"/>
            </w:tcMar>
            <w:vAlign w:val="top"/>
          </w:tcPr>
          <w:p>
            <w:r>
              <w:rPr>
                <w:sz w:val="17"/>
              </w:rPr>
              <w:t>Gestion électorale nationale externe au CNPM</w:t>
            </w:r>
          </w:p>
        </w:tc>
      </w:tr>
      <w:tr>
        <w:tc>
          <w:tcPr>
            <w:tcW w:type="dxa" w:w="1944"/>
            <w:tcMar>
              <w:top w:w="90" w:type="dxa"/>
              <w:start w:w="90" w:type="dxa"/>
              <w:bottom w:w="90" w:type="dxa"/>
              <w:end w:w="90" w:type="dxa"/>
            </w:tcMar>
            <w:vAlign w:val="top"/>
          </w:tcPr>
          <w:p>
            <w:r>
              <w:rPr>
                <w:sz w:val="17"/>
              </w:rPr>
              <w:t>Décisionnel</w:t>
            </w:r>
          </w:p>
        </w:tc>
        <w:tc>
          <w:tcPr>
            <w:tcW w:type="dxa" w:w="4464"/>
            <w:tcMar>
              <w:top w:w="90" w:type="dxa"/>
              <w:start w:w="90" w:type="dxa"/>
              <w:bottom w:w="90" w:type="dxa"/>
              <w:end w:w="90" w:type="dxa"/>
            </w:tcMar>
            <w:vAlign w:val="top"/>
          </w:tcPr>
          <w:p>
            <w:r>
              <w:rPr>
                <w:sz w:val="17"/>
              </w:rPr>
              <w:t>KPI, prévisions, risque, segmentation, exports, rapports programmés</w:t>
            </w:r>
          </w:p>
        </w:tc>
        <w:tc>
          <w:tcPr>
            <w:tcW w:type="dxa" w:w="3240"/>
            <w:tcMar>
              <w:top w:w="90" w:type="dxa"/>
              <w:start w:w="90" w:type="dxa"/>
              <w:bottom w:w="90" w:type="dxa"/>
              <w:end w:w="90" w:type="dxa"/>
            </w:tcMar>
            <w:vAlign w:val="top"/>
          </w:tcPr>
          <w:p>
            <w:r>
              <w:rPr>
                <w:sz w:val="17"/>
              </w:rPr>
              <w:t>Data warehouse multi-institutions hors CNPM</w:t>
            </w:r>
          </w:p>
        </w:tc>
      </w:tr>
      <w:tr>
        <w:tc>
          <w:tcPr>
            <w:tcW w:type="dxa" w:w="1944"/>
            <w:tcMar>
              <w:top w:w="90" w:type="dxa"/>
              <w:start w:w="90" w:type="dxa"/>
              <w:bottom w:w="90" w:type="dxa"/>
              <w:end w:w="90" w:type="dxa"/>
            </w:tcMar>
            <w:vAlign w:val="top"/>
          </w:tcPr>
          <w:p>
            <w:r>
              <w:rPr>
                <w:sz w:val="17"/>
              </w:rPr>
              <w:t>Mobile</w:t>
            </w:r>
          </w:p>
        </w:tc>
        <w:tc>
          <w:tcPr>
            <w:tcW w:type="dxa" w:w="4464"/>
            <w:tcMar>
              <w:top w:w="90" w:type="dxa"/>
              <w:start w:w="90" w:type="dxa"/>
              <w:bottom w:w="90" w:type="dxa"/>
              <w:end w:w="90" w:type="dxa"/>
            </w:tcMar>
            <w:vAlign w:val="top"/>
          </w:tcPr>
          <w:p>
            <w:r>
              <w:rPr>
                <w:sz w:val="17"/>
              </w:rPr>
              <w:t>Application membre et application terrain/recouvrement</w:t>
            </w:r>
          </w:p>
        </w:tc>
        <w:tc>
          <w:tcPr>
            <w:tcW w:type="dxa" w:w="3240"/>
            <w:tcMar>
              <w:top w:w="90" w:type="dxa"/>
              <w:start w:w="90" w:type="dxa"/>
              <w:bottom w:w="90" w:type="dxa"/>
              <w:end w:w="90" w:type="dxa"/>
            </w:tcMar>
            <w:vAlign w:val="top"/>
          </w:tcPr>
          <w:p>
            <w:r>
              <w:rPr>
                <w:sz w:val="17"/>
              </w:rPr>
              <w:t>Mode totalement autonome sans aucune synchronisation prolongée</w:t>
            </w:r>
          </w:p>
        </w:tc>
      </w:tr>
    </w:tbl>
    <w:p>
      <w:pPr>
        <w:spacing w:after="20"/>
      </w:pPr>
    </w:p>
    <w:p>
      <w:pPr>
        <w:pStyle w:val="Heading2"/>
      </w:pPr>
      <w:r>
        <w:t>1.4 Hypothèses de cadrage</w:t>
      </w:r>
    </w:p>
    <w:p>
      <w:pPr>
        <w:pStyle w:val="ListBullet"/>
      </w:pPr>
      <w:r>
        <w:t>La solution est multi-entités, multi-exercices, multi-barèmes et multi-canaux de paiement.</w:t>
      </w:r>
    </w:p>
    <w:p>
      <w:pPr>
        <w:pStyle w:val="ListBullet"/>
      </w:pPr>
      <w:r>
        <w:t>PostgreSQL est imposé comme SGBD relationnel et source de vérité transactionnelle; les caches, files de messages et stockages de fichiers ne peuvent jamais détenir l'unique copie d'une donnée métier.</w:t>
      </w:r>
    </w:p>
    <w:p>
      <w:pPr>
        <w:pStyle w:val="ListBullet"/>
      </w:pPr>
      <w:r>
        <w:t>Les montants sont gérés principalement en FCFA, avec possibilité de devises complémentaires.</w:t>
      </w:r>
    </w:p>
    <w:p>
      <w:pPr>
        <w:pStyle w:val="ListBullet"/>
      </w:pPr>
      <w:r>
        <w:t>Les données historiques disponibles seront reprises après nettoyage et validation du CNPM.</w:t>
      </w:r>
    </w:p>
    <w:p>
      <w:pPr>
        <w:pStyle w:val="ListBullet"/>
      </w:pPr>
      <w:r>
        <w:t>Le portail public, l’extranet membre et le back-office sont distincts mais partagent les mêmes référentiels.</w:t>
      </w:r>
    </w:p>
    <w:p>
      <w:pPr>
        <w:pStyle w:val="ListBullet"/>
      </w:pPr>
      <w:r>
        <w:t>Le PoC couvre un cycle complet d’enrôlement, relance, paiement, confirmation et reçu.</w:t>
      </w:r>
    </w:p>
    <w:p>
      <w:pPr>
        <w:pStyle w:val="Heading1"/>
      </w:pPr>
      <w:r>
        <w:t>2. Vision produit et principes directeurs</w:t>
      </w:r>
    </w:p>
    <w:p>
      <w:pPr>
        <w:spacing w:after="160"/>
      </w:pPr>
      <w:r>
        <w:rPr>
          <w:color w:val="5B6475"/>
          <w:sz w:val="21"/>
        </w:rPr>
        <w:t>La solution est conçue comme une plateforme institutionnelle premium, et non comme un simple logiciel de collecte. Elle doit unifier gestion des membres, relation institutionnelle, recouvrement, services, gouvernance et pilotage.</w:t>
      </w:r>
    </w:p>
    <w:p>
      <w:pPr>
        <w:pStyle w:val="Heading2"/>
      </w:pPr>
      <w:r>
        <w:t>2.1 Vision cible</w:t>
      </w:r>
    </w:p>
    <w:tbl>
      <w:tblPr>
        <w:tblW w:type="auto" w:w="0"/>
        <w:jc w:val="center"/>
        <w:tblLayout w:type="fixed"/>
        <w:tblLook w:firstColumn="1" w:firstRow="1" w:lastColumn="0" w:lastRow="0" w:noHBand="0" w:noVBand="1" w:val="04A0"/>
        <w:tblBorders>
          <w:top w:val="nil" w:sz="0" w:space="0" w:color="FFFFFF"/>
          <w:start w:val="nil" w:sz="0" w:space="0" w:color="FFFFFF"/>
          <w:bottom w:val="nil" w:sz="0" w:space="0" w:color="FFFFFF"/>
          <w:end w:val="nil" w:sz="0" w:space="0" w:color="FFFFFF"/>
          <w:insideH w:val="nil" w:sz="0" w:space="0" w:color="FFFFFF"/>
          <w:insideV w:val="nil" w:sz="0" w:space="0" w:color="FFFFFF"/>
        </w:tblBorders>
      </w:tblPr>
      <w:tblGrid>
        <w:gridCol w:w="144"/>
        <w:gridCol w:w="9144"/>
      </w:tblGrid>
      <w:tr>
        <w:tc>
          <w:tcPr>
            <w:tcW w:type="dxa" w:w="5083"/>
          </w:tcPr>
          <w:p/>
        </w:tc>
        <w:tc>
          <w:tcPr>
            <w:tcW w:type="dxa" w:w="5083"/>
            <w:tcMar>
              <w:top w:w="130" w:type="dxa"/>
              <w:start w:w="150" w:type="dxa"/>
              <w:bottom w:w="130" w:type="dxa"/>
              <w:end w:w="150" w:type="dxa"/>
            </w:tcMar>
          </w:tcPr>
          <w:p>
            <w:r>
              <w:rPr>
                <w:b/>
                <w:color w:val="1F7A4D"/>
                <w:sz w:val="20"/>
              </w:rPr>
              <w:t>Vision produit</w:t>
            </w:r>
          </w:p>
          <w:p>
            <w:pPr>
              <w:spacing w:after="0"/>
            </w:pPr>
            <w:r>
              <w:t>« Un compte unique CNPM pour chaque entreprise membre, une situation de cotisation transparente, des services accessibles à distance et une capacité de pilotage instantanée pour les dirigeants. »</w:t>
            </w:r>
          </w:p>
        </w:tc>
      </w:tr>
    </w:tbl>
    <w:p>
      <w:pPr>
        <w:spacing w:after="20"/>
      </w:pPr>
    </w:p>
    <w:p>
      <w:pPr>
        <w:pStyle w:val="Heading2"/>
      </w:pPr>
      <w:r>
        <w:t>2.2 Principes fonctionnels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23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Principe</w:t>
            </w:r>
          </w:p>
        </w:tc>
        <w:tc>
          <w:tcPr>
            <w:tcW w:type="dxa" w:w="7416"/>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Traduction dans la solution</w:t>
            </w:r>
          </w:p>
        </w:tc>
      </w:tr>
      <w:tr>
        <w:tc>
          <w:tcPr>
            <w:tcW w:type="dxa" w:w="2232"/>
            <w:tcMar>
              <w:top w:w="90" w:type="dxa"/>
              <w:start w:w="90" w:type="dxa"/>
              <w:bottom w:w="90" w:type="dxa"/>
              <w:end w:w="90" w:type="dxa"/>
            </w:tcMar>
            <w:vAlign w:val="top"/>
          </w:tcPr>
          <w:p>
            <w:r>
              <w:rPr>
                <w:sz w:val="17"/>
              </w:rPr>
              <w:t>Membre au centre</w:t>
            </w:r>
          </w:p>
        </w:tc>
        <w:tc>
          <w:tcPr>
            <w:tcW w:type="dxa" w:w="7416"/>
            <w:tcMar>
              <w:top w:w="90" w:type="dxa"/>
              <w:start w:w="90" w:type="dxa"/>
              <w:bottom w:w="90" w:type="dxa"/>
              <w:end w:w="90" w:type="dxa"/>
            </w:tcMar>
            <w:vAlign w:val="top"/>
          </w:tcPr>
          <w:p>
            <w:r>
              <w:rPr>
                <w:sz w:val="17"/>
              </w:rPr>
              <w:t>Compte unique, vue 360°, historique complet, expérience omnicanale.</w:t>
            </w:r>
          </w:p>
        </w:tc>
      </w:tr>
      <w:tr>
        <w:tc>
          <w:tcPr>
            <w:tcW w:type="dxa" w:w="2232"/>
            <w:tcMar>
              <w:top w:w="90" w:type="dxa"/>
              <w:start w:w="90" w:type="dxa"/>
              <w:bottom w:w="90" w:type="dxa"/>
              <w:end w:w="90" w:type="dxa"/>
            </w:tcMar>
            <w:vAlign w:val="top"/>
          </w:tcPr>
          <w:p>
            <w:r>
              <w:rPr>
                <w:sz w:val="17"/>
              </w:rPr>
              <w:t>Souveraineté CNPM</w:t>
            </w:r>
          </w:p>
        </w:tc>
        <w:tc>
          <w:tcPr>
            <w:tcW w:type="dxa" w:w="7416"/>
            <w:tcMar>
              <w:top w:w="90" w:type="dxa"/>
              <w:start w:w="90" w:type="dxa"/>
              <w:bottom w:w="90" w:type="dxa"/>
              <w:end w:w="90" w:type="dxa"/>
            </w:tcMar>
            <w:vAlign w:val="top"/>
          </w:tcPr>
          <w:p>
            <w:r>
              <w:rPr>
                <w:sz w:val="17"/>
              </w:rPr>
              <w:t>Workflows de validation, signature institutionnelle, propriété et portabilité des données.</w:t>
            </w:r>
          </w:p>
        </w:tc>
      </w:tr>
      <w:tr>
        <w:tc>
          <w:tcPr>
            <w:tcW w:type="dxa" w:w="2232"/>
            <w:tcMar>
              <w:top w:w="90" w:type="dxa"/>
              <w:start w:w="90" w:type="dxa"/>
              <w:bottom w:w="90" w:type="dxa"/>
              <w:end w:w="90" w:type="dxa"/>
            </w:tcMar>
            <w:vAlign w:val="top"/>
          </w:tcPr>
          <w:p>
            <w:r>
              <w:rPr>
                <w:sz w:val="17"/>
              </w:rPr>
              <w:t>Zéro ambiguïté financière</w:t>
            </w:r>
          </w:p>
        </w:tc>
        <w:tc>
          <w:tcPr>
            <w:tcW w:type="dxa" w:w="7416"/>
            <w:tcMar>
              <w:top w:w="90" w:type="dxa"/>
              <w:start w:w="90" w:type="dxa"/>
              <w:bottom w:w="90" w:type="dxa"/>
              <w:end w:w="90" w:type="dxa"/>
            </w:tcMar>
            <w:vAlign w:val="top"/>
          </w:tcPr>
          <w:p>
            <w:r>
              <w:rPr>
                <w:sz w:val="17"/>
              </w:rPr>
              <w:t>Référence unique, piste d’audit, rapprochement explicable, reçus vérifiables.</w:t>
            </w:r>
          </w:p>
        </w:tc>
      </w:tr>
      <w:tr>
        <w:tc>
          <w:tcPr>
            <w:tcW w:type="dxa" w:w="2232"/>
            <w:tcMar>
              <w:top w:w="90" w:type="dxa"/>
              <w:start w:w="90" w:type="dxa"/>
              <w:bottom w:w="90" w:type="dxa"/>
              <w:end w:w="90" w:type="dxa"/>
            </w:tcMar>
            <w:vAlign w:val="top"/>
          </w:tcPr>
          <w:p>
            <w:r>
              <w:rPr>
                <w:sz w:val="17"/>
              </w:rPr>
              <w:t>Mobile first</w:t>
            </w:r>
          </w:p>
        </w:tc>
        <w:tc>
          <w:tcPr>
            <w:tcW w:type="dxa" w:w="7416"/>
            <w:tcMar>
              <w:top w:w="90" w:type="dxa"/>
              <w:start w:w="90" w:type="dxa"/>
              <w:bottom w:w="90" w:type="dxa"/>
              <w:end w:w="90" w:type="dxa"/>
            </w:tcMar>
            <w:vAlign w:val="top"/>
          </w:tcPr>
          <w:p>
            <w:r>
              <w:rPr>
                <w:sz w:val="17"/>
              </w:rPr>
              <w:t>Parcours simples, faible consommation de données, PWA et application mobile.</w:t>
            </w:r>
          </w:p>
        </w:tc>
      </w:tr>
      <w:tr>
        <w:tc>
          <w:tcPr>
            <w:tcW w:type="dxa" w:w="2232"/>
            <w:tcMar>
              <w:top w:w="90" w:type="dxa"/>
              <w:start w:w="90" w:type="dxa"/>
              <w:bottom w:w="90" w:type="dxa"/>
              <w:end w:w="90" w:type="dxa"/>
            </w:tcMar>
            <w:vAlign w:val="top"/>
          </w:tcPr>
          <w:p>
            <w:r>
              <w:rPr>
                <w:sz w:val="17"/>
              </w:rPr>
              <w:t>Configuration avant développement</w:t>
            </w:r>
          </w:p>
        </w:tc>
        <w:tc>
          <w:tcPr>
            <w:tcW w:type="dxa" w:w="7416"/>
            <w:tcMar>
              <w:top w:w="90" w:type="dxa"/>
              <w:start w:w="90" w:type="dxa"/>
              <w:bottom w:w="90" w:type="dxa"/>
              <w:end w:w="90" w:type="dxa"/>
            </w:tcMar>
            <w:vAlign w:val="top"/>
          </w:tcPr>
          <w:p>
            <w:r>
              <w:rPr>
                <w:sz w:val="17"/>
              </w:rPr>
              <w:t>Barèmes, catégories, scénarios de relance, modèles et habilitations paramétrables.</w:t>
            </w:r>
          </w:p>
        </w:tc>
      </w:tr>
      <w:tr>
        <w:tc>
          <w:tcPr>
            <w:tcW w:type="dxa" w:w="2232"/>
            <w:tcMar>
              <w:top w:w="90" w:type="dxa"/>
              <w:start w:w="90" w:type="dxa"/>
              <w:bottom w:w="90" w:type="dxa"/>
              <w:end w:w="90" w:type="dxa"/>
            </w:tcMar>
            <w:vAlign w:val="top"/>
          </w:tcPr>
          <w:p>
            <w:r>
              <w:rPr>
                <w:sz w:val="17"/>
              </w:rPr>
              <w:t>Sécurité par défaut</w:t>
            </w:r>
          </w:p>
        </w:tc>
        <w:tc>
          <w:tcPr>
            <w:tcW w:type="dxa" w:w="7416"/>
            <w:tcMar>
              <w:top w:w="90" w:type="dxa"/>
              <w:start w:w="90" w:type="dxa"/>
              <w:bottom w:w="90" w:type="dxa"/>
              <w:end w:w="90" w:type="dxa"/>
            </w:tcMar>
            <w:vAlign w:val="top"/>
          </w:tcPr>
          <w:p>
            <w:r>
              <w:rPr>
                <w:sz w:val="17"/>
              </w:rPr>
              <w:t>RBAC, moindre privilège, 2FA, chiffrement, journalisation, contrôles anti-fraude.</w:t>
            </w:r>
          </w:p>
        </w:tc>
      </w:tr>
      <w:tr>
        <w:tc>
          <w:tcPr>
            <w:tcW w:type="dxa" w:w="2232"/>
            <w:tcMar>
              <w:top w:w="90" w:type="dxa"/>
              <w:start w:w="90" w:type="dxa"/>
              <w:bottom w:w="90" w:type="dxa"/>
              <w:end w:w="90" w:type="dxa"/>
            </w:tcMar>
            <w:vAlign w:val="top"/>
          </w:tcPr>
          <w:p>
            <w:r>
              <w:rPr>
                <w:sz w:val="17"/>
              </w:rPr>
              <w:t>Décisionnel natif</w:t>
            </w:r>
          </w:p>
        </w:tc>
        <w:tc>
          <w:tcPr>
            <w:tcW w:type="dxa" w:w="7416"/>
            <w:tcMar>
              <w:top w:w="90" w:type="dxa"/>
              <w:start w:w="90" w:type="dxa"/>
              <w:bottom w:w="90" w:type="dxa"/>
              <w:end w:w="90" w:type="dxa"/>
            </w:tcMar>
            <w:vAlign w:val="top"/>
          </w:tcPr>
          <w:p>
            <w:r>
              <w:rPr>
                <w:sz w:val="17"/>
              </w:rPr>
              <w:t>KPI, segmentation, alertes et projections intégrés dès la conception.</w:t>
            </w:r>
          </w:p>
        </w:tc>
      </w:tr>
    </w:tbl>
    <w:p>
      <w:pPr>
        <w:spacing w:after="20"/>
      </w:pPr>
    </w:p>
    <w:p>
      <w:pPr>
        <w:pStyle w:val="Heading2"/>
      </w:pPr>
      <w:r>
        <w:t>2.3 Charte graphique et expérience utilisateur</w:t>
      </w:r>
    </w:p>
    <w:p>
      <w:r>
        <w:t>La charte s’aligne sur le logo CNPM : bleu institutionnel profond pour la confiance et la gouvernance, rouge vif pour l’action, les alertes et les appels à contribution, blanc pour la clarté. Les surfaces secondaires utilisent des gris bleutés très légers.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376"/>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Élément</w:t>
            </w:r>
          </w:p>
        </w:tc>
        <w:tc>
          <w:tcPr>
            <w:tcW w:type="dxa" w:w="727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Spécification</w:t>
            </w:r>
          </w:p>
        </w:tc>
      </w:tr>
      <w:tr>
        <w:tc>
          <w:tcPr>
            <w:tcW w:type="dxa" w:w="2376"/>
            <w:tcMar>
              <w:top w:w="90" w:type="dxa"/>
              <w:start w:w="90" w:type="dxa"/>
              <w:bottom w:w="90" w:type="dxa"/>
              <w:end w:w="90" w:type="dxa"/>
            </w:tcMar>
            <w:vAlign w:val="top"/>
          </w:tcPr>
          <w:p>
            <w:r>
              <w:rPr>
                <w:sz w:val="17"/>
              </w:rPr>
              <w:t>Couleur principale</w:t>
            </w:r>
          </w:p>
        </w:tc>
        <w:tc>
          <w:tcPr>
            <w:tcW w:type="dxa" w:w="7272"/>
            <w:tcMar>
              <w:top w:w="90" w:type="dxa"/>
              <w:start w:w="90" w:type="dxa"/>
              <w:bottom w:w="90" w:type="dxa"/>
              <w:end w:w="90" w:type="dxa"/>
            </w:tcMar>
            <w:vAlign w:val="top"/>
          </w:tcPr>
          <w:p>
            <w:r>
              <w:rPr>
                <w:sz w:val="17"/>
              </w:rPr>
              <w:t>#273481 - navigation, titres, boutons institutionnels.</w:t>
            </w:r>
          </w:p>
        </w:tc>
      </w:tr>
      <w:tr>
        <w:tc>
          <w:tcPr>
            <w:tcW w:type="dxa" w:w="2376"/>
            <w:tcMar>
              <w:top w:w="90" w:type="dxa"/>
              <w:start w:w="90" w:type="dxa"/>
              <w:bottom w:w="90" w:type="dxa"/>
              <w:end w:w="90" w:type="dxa"/>
            </w:tcMar>
            <w:vAlign w:val="top"/>
          </w:tcPr>
          <w:p>
            <w:r>
              <w:rPr>
                <w:sz w:val="17"/>
              </w:rPr>
              <w:t>Couleur d’accent</w:t>
            </w:r>
          </w:p>
        </w:tc>
        <w:tc>
          <w:tcPr>
            <w:tcW w:type="dxa" w:w="7272"/>
            <w:tcMar>
              <w:top w:w="90" w:type="dxa"/>
              <w:start w:w="90" w:type="dxa"/>
              <w:bottom w:w="90" w:type="dxa"/>
              <w:end w:w="90" w:type="dxa"/>
            </w:tcMar>
            <w:vAlign w:val="top"/>
          </w:tcPr>
          <w:p>
            <w:r>
              <w:rPr>
                <w:sz w:val="17"/>
              </w:rPr>
              <w:t>#E30B1F - actions prioritaires, alertes, échéances, badges.</w:t>
            </w:r>
          </w:p>
        </w:tc>
      </w:tr>
      <w:tr>
        <w:tc>
          <w:tcPr>
            <w:tcW w:type="dxa" w:w="2376"/>
            <w:tcMar>
              <w:top w:w="90" w:type="dxa"/>
              <w:start w:w="90" w:type="dxa"/>
              <w:bottom w:w="90" w:type="dxa"/>
              <w:end w:w="90" w:type="dxa"/>
            </w:tcMar>
            <w:vAlign w:val="top"/>
          </w:tcPr>
          <w:p>
            <w:r>
              <w:rPr>
                <w:sz w:val="17"/>
              </w:rPr>
              <w:t>Fond clair</w:t>
            </w:r>
          </w:p>
        </w:tc>
        <w:tc>
          <w:tcPr>
            <w:tcW w:type="dxa" w:w="7272"/>
            <w:tcMar>
              <w:top w:w="90" w:type="dxa"/>
              <w:start w:w="90" w:type="dxa"/>
              <w:bottom w:w="90" w:type="dxa"/>
              <w:end w:w="90" w:type="dxa"/>
            </w:tcMar>
            <w:vAlign w:val="top"/>
          </w:tcPr>
          <w:p>
            <w:r>
              <w:rPr>
                <w:sz w:val="17"/>
              </w:rPr>
              <w:t>#EEF1F8 - cartes secondaires, filtres, zones de synthèse.</w:t>
            </w:r>
          </w:p>
        </w:tc>
      </w:tr>
      <w:tr>
        <w:tc>
          <w:tcPr>
            <w:tcW w:type="dxa" w:w="2376"/>
            <w:tcMar>
              <w:top w:w="90" w:type="dxa"/>
              <w:start w:w="90" w:type="dxa"/>
              <w:bottom w:w="90" w:type="dxa"/>
              <w:end w:w="90" w:type="dxa"/>
            </w:tcMar>
            <w:vAlign w:val="top"/>
          </w:tcPr>
          <w:p>
            <w:r>
              <w:rPr>
                <w:sz w:val="17"/>
              </w:rPr>
              <w:t>Typographie</w:t>
            </w:r>
          </w:p>
        </w:tc>
        <w:tc>
          <w:tcPr>
            <w:tcW w:type="dxa" w:w="7272"/>
            <w:tcMar>
              <w:top w:w="90" w:type="dxa"/>
              <w:start w:w="90" w:type="dxa"/>
              <w:bottom w:w="90" w:type="dxa"/>
              <w:end w:w="90" w:type="dxa"/>
            </w:tcMar>
            <w:vAlign w:val="top"/>
          </w:tcPr>
          <w:p>
            <w:r>
              <w:rPr>
                <w:sz w:val="17"/>
              </w:rPr>
              <w:t>Aptos / Inter / Source Sans 3, lisible sur mobile et compatible web.</w:t>
            </w:r>
          </w:p>
        </w:tc>
      </w:tr>
      <w:tr>
        <w:tc>
          <w:tcPr>
            <w:tcW w:type="dxa" w:w="2376"/>
            <w:tcMar>
              <w:top w:w="90" w:type="dxa"/>
              <w:start w:w="90" w:type="dxa"/>
              <w:bottom w:w="90" w:type="dxa"/>
              <w:end w:w="90" w:type="dxa"/>
            </w:tcMar>
            <w:vAlign w:val="top"/>
          </w:tcPr>
          <w:p>
            <w:r>
              <w:rPr>
                <w:sz w:val="17"/>
              </w:rPr>
              <w:t>Composants</w:t>
            </w:r>
          </w:p>
        </w:tc>
        <w:tc>
          <w:tcPr>
            <w:tcW w:type="dxa" w:w="7272"/>
            <w:tcMar>
              <w:top w:w="90" w:type="dxa"/>
              <w:start w:w="90" w:type="dxa"/>
              <w:bottom w:w="90" w:type="dxa"/>
              <w:end w:w="90" w:type="dxa"/>
            </w:tcMar>
            <w:vAlign w:val="top"/>
          </w:tcPr>
          <w:p>
            <w:r>
              <w:rPr>
                <w:sz w:val="17"/>
              </w:rPr>
              <w:t>Cartes aérées, tableaux filtrables, formulaires guidés, timeline, badges d’état.</w:t>
            </w:r>
          </w:p>
        </w:tc>
      </w:tr>
      <w:tr>
        <w:tc>
          <w:tcPr>
            <w:tcW w:type="dxa" w:w="2376"/>
            <w:tcMar>
              <w:top w:w="90" w:type="dxa"/>
              <w:start w:w="90" w:type="dxa"/>
              <w:bottom w:w="90" w:type="dxa"/>
              <w:end w:w="90" w:type="dxa"/>
            </w:tcMar>
            <w:vAlign w:val="top"/>
          </w:tcPr>
          <w:p>
            <w:r>
              <w:rPr>
                <w:sz w:val="17"/>
              </w:rPr>
              <w:t>Accessibilité</w:t>
            </w:r>
          </w:p>
        </w:tc>
        <w:tc>
          <w:tcPr>
            <w:tcW w:type="dxa" w:w="7272"/>
            <w:tcMar>
              <w:top w:w="90" w:type="dxa"/>
              <w:start w:w="90" w:type="dxa"/>
              <w:bottom w:w="90" w:type="dxa"/>
              <w:end w:w="90" w:type="dxa"/>
            </w:tcMar>
            <w:vAlign w:val="top"/>
          </w:tcPr>
          <w:p>
            <w:r>
              <w:rPr>
                <w:sz w:val="17"/>
              </w:rPr>
              <w:t>Contraste WCAG 2.1 AA, navigation clavier, libellés explicites, taille minimale 16 px sur mobile.</w:t>
            </w:r>
          </w:p>
        </w:tc>
      </w:tr>
      <w:tr>
        <w:tc>
          <w:tcPr>
            <w:tcW w:type="dxa" w:w="2376"/>
            <w:tcMar>
              <w:top w:w="90" w:type="dxa"/>
              <w:start w:w="90" w:type="dxa"/>
              <w:bottom w:w="90" w:type="dxa"/>
              <w:end w:w="90" w:type="dxa"/>
            </w:tcMar>
            <w:vAlign w:val="top"/>
          </w:tcPr>
          <w:p>
            <w:r>
              <w:rPr>
                <w:sz w:val="17"/>
              </w:rPr>
              <w:t>Ton</w:t>
            </w:r>
          </w:p>
        </w:tc>
        <w:tc>
          <w:tcPr>
            <w:tcW w:type="dxa" w:w="7272"/>
            <w:tcMar>
              <w:top w:w="90" w:type="dxa"/>
              <w:start w:w="90" w:type="dxa"/>
              <w:bottom w:w="90" w:type="dxa"/>
              <w:end w:w="90" w:type="dxa"/>
            </w:tcMar>
            <w:vAlign w:val="top"/>
          </w:tcPr>
          <w:p>
            <w:r>
              <w:rPr>
                <w:sz w:val="17"/>
              </w:rPr>
              <w:t>Institutionnel, moderne, précis, non technique pour les membres.</w:t>
            </w:r>
          </w:p>
        </w:tc>
      </w:tr>
    </w:tbl>
    <w:p>
      <w:pPr>
        <w:spacing w:after="20"/>
      </w:pPr>
    </w:p>
    <w:p>
      <w:pPr>
        <w:pStyle w:val="Heading1"/>
      </w:pPr>
      <w:r>
        <w:t>3. Parties prenantes et profils utilisateurs</w:t>
      </w:r>
    </w:p>
    <w:p>
      <w:pPr>
        <w:pStyle w:val="Heading2"/>
      </w:pPr>
      <w:r>
        <w:t>3.1 Acteurs internes et externes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448"/>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Acteur</w:t>
            </w:r>
          </w:p>
        </w:tc>
        <w:tc>
          <w:tcPr>
            <w:tcW w:type="dxa" w:w="720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Responsabilités principales</w:t>
            </w:r>
          </w:p>
        </w:tc>
      </w:tr>
      <w:tr>
        <w:tc>
          <w:tcPr>
            <w:tcW w:type="dxa" w:w="2448"/>
            <w:tcMar>
              <w:top w:w="90" w:type="dxa"/>
              <w:start w:w="90" w:type="dxa"/>
              <w:bottom w:w="90" w:type="dxa"/>
              <w:end w:w="90" w:type="dxa"/>
            </w:tcMar>
            <w:vAlign w:val="top"/>
          </w:tcPr>
          <w:p>
            <w:r>
              <w:rPr>
                <w:sz w:val="17"/>
              </w:rPr>
              <w:t>Présidence / Direction générale</w:t>
            </w:r>
          </w:p>
        </w:tc>
        <w:tc>
          <w:tcPr>
            <w:tcW w:type="dxa" w:w="7200"/>
            <w:tcMar>
              <w:top w:w="90" w:type="dxa"/>
              <w:start w:w="90" w:type="dxa"/>
              <w:bottom w:w="90" w:type="dxa"/>
              <w:end w:w="90" w:type="dxa"/>
            </w:tcMar>
            <w:vAlign w:val="top"/>
          </w:tcPr>
          <w:p>
            <w:r>
              <w:rPr>
                <w:sz w:val="17"/>
              </w:rPr>
              <w:t>Pilotage stratégique, validation des politiques, consultation des tableaux de bord.</w:t>
            </w:r>
          </w:p>
        </w:tc>
      </w:tr>
      <w:tr>
        <w:tc>
          <w:tcPr>
            <w:tcW w:type="dxa" w:w="2448"/>
            <w:tcMar>
              <w:top w:w="90" w:type="dxa"/>
              <w:start w:w="90" w:type="dxa"/>
              <w:bottom w:w="90" w:type="dxa"/>
              <w:end w:w="90" w:type="dxa"/>
            </w:tcMar>
            <w:vAlign w:val="top"/>
          </w:tcPr>
          <w:p>
            <w:r>
              <w:rPr>
                <w:sz w:val="17"/>
              </w:rPr>
              <w:t>Secrétariat général</w:t>
            </w:r>
          </w:p>
        </w:tc>
        <w:tc>
          <w:tcPr>
            <w:tcW w:type="dxa" w:w="7200"/>
            <w:tcMar>
              <w:top w:w="90" w:type="dxa"/>
              <w:start w:w="90" w:type="dxa"/>
              <w:bottom w:w="90" w:type="dxa"/>
              <w:end w:w="90" w:type="dxa"/>
            </w:tcMar>
            <w:vAlign w:val="top"/>
          </w:tcPr>
          <w:p>
            <w:r>
              <w:rPr>
                <w:sz w:val="17"/>
              </w:rPr>
              <w:t>Supervision opérationnelle, arbitrages, gouvernance des membres et groupements.</w:t>
            </w:r>
          </w:p>
        </w:tc>
      </w:tr>
      <w:tr>
        <w:tc>
          <w:tcPr>
            <w:tcW w:type="dxa" w:w="2448"/>
            <w:tcMar>
              <w:top w:w="90" w:type="dxa"/>
              <w:start w:w="90" w:type="dxa"/>
              <w:bottom w:w="90" w:type="dxa"/>
              <w:end w:w="90" w:type="dxa"/>
            </w:tcMar>
            <w:vAlign w:val="top"/>
          </w:tcPr>
          <w:p>
            <w:r>
              <w:rPr>
                <w:sz w:val="17"/>
              </w:rPr>
              <w:t>Direction financière / Comptabilité</w:t>
            </w:r>
          </w:p>
        </w:tc>
        <w:tc>
          <w:tcPr>
            <w:tcW w:type="dxa" w:w="7200"/>
            <w:tcMar>
              <w:top w:w="90" w:type="dxa"/>
              <w:start w:w="90" w:type="dxa"/>
              <w:bottom w:w="90" w:type="dxa"/>
              <w:end w:w="90" w:type="dxa"/>
            </w:tcMar>
            <w:vAlign w:val="top"/>
          </w:tcPr>
          <w:p>
            <w:r>
              <w:rPr>
                <w:sz w:val="17"/>
              </w:rPr>
              <w:t>Barèmes, appels, paiements, rapprochement, reçus, clôture et reporting.</w:t>
            </w:r>
          </w:p>
        </w:tc>
      </w:tr>
      <w:tr>
        <w:tc>
          <w:tcPr>
            <w:tcW w:type="dxa" w:w="2448"/>
            <w:tcMar>
              <w:top w:w="90" w:type="dxa"/>
              <w:start w:w="90" w:type="dxa"/>
              <w:bottom w:w="90" w:type="dxa"/>
              <w:end w:w="90" w:type="dxa"/>
            </w:tcMar>
            <w:vAlign w:val="top"/>
          </w:tcPr>
          <w:p>
            <w:r>
              <w:rPr>
                <w:sz w:val="17"/>
              </w:rPr>
              <w:t>Agent de recouvrement</w:t>
            </w:r>
          </w:p>
        </w:tc>
        <w:tc>
          <w:tcPr>
            <w:tcW w:type="dxa" w:w="7200"/>
            <w:tcMar>
              <w:top w:w="90" w:type="dxa"/>
              <w:start w:w="90" w:type="dxa"/>
              <w:bottom w:w="90" w:type="dxa"/>
              <w:end w:w="90" w:type="dxa"/>
            </w:tcMar>
            <w:vAlign w:val="top"/>
          </w:tcPr>
          <w:p>
            <w:r>
              <w:rPr>
                <w:sz w:val="17"/>
              </w:rPr>
              <w:t>Enrôlement assisté, relances, suivi des promesses, visites et encaissements autorisés.</w:t>
            </w:r>
          </w:p>
        </w:tc>
      </w:tr>
      <w:tr>
        <w:tc>
          <w:tcPr>
            <w:tcW w:type="dxa" w:w="2448"/>
            <w:tcMar>
              <w:top w:w="90" w:type="dxa"/>
              <w:start w:w="90" w:type="dxa"/>
              <w:bottom w:w="90" w:type="dxa"/>
              <w:end w:w="90" w:type="dxa"/>
            </w:tcMar>
            <w:vAlign w:val="top"/>
          </w:tcPr>
          <w:p>
            <w:r>
              <w:rPr>
                <w:sz w:val="17"/>
              </w:rPr>
              <w:t>Service membres</w:t>
            </w:r>
          </w:p>
        </w:tc>
        <w:tc>
          <w:tcPr>
            <w:tcW w:type="dxa" w:w="7200"/>
            <w:tcMar>
              <w:top w:w="90" w:type="dxa"/>
              <w:start w:w="90" w:type="dxa"/>
              <w:bottom w:w="90" w:type="dxa"/>
              <w:end w:w="90" w:type="dxa"/>
            </w:tcMar>
            <w:vAlign w:val="top"/>
          </w:tcPr>
          <w:p>
            <w:r>
              <w:rPr>
                <w:sz w:val="17"/>
              </w:rPr>
              <w:t>Adhésions, mises à jour, demandes, attestations, relation membre.</w:t>
            </w:r>
          </w:p>
        </w:tc>
      </w:tr>
      <w:tr>
        <w:tc>
          <w:tcPr>
            <w:tcW w:type="dxa" w:w="2448"/>
            <w:tcMar>
              <w:top w:w="90" w:type="dxa"/>
              <w:start w:w="90" w:type="dxa"/>
              <w:bottom w:w="90" w:type="dxa"/>
              <w:end w:w="90" w:type="dxa"/>
            </w:tcMar>
            <w:vAlign w:val="top"/>
          </w:tcPr>
          <w:p>
            <w:r>
              <w:rPr>
                <w:sz w:val="17"/>
              </w:rPr>
              <w:t>Administrateur fonctionnel</w:t>
            </w:r>
          </w:p>
        </w:tc>
        <w:tc>
          <w:tcPr>
            <w:tcW w:type="dxa" w:w="7200"/>
            <w:tcMar>
              <w:top w:w="90" w:type="dxa"/>
              <w:start w:w="90" w:type="dxa"/>
              <w:bottom w:w="90" w:type="dxa"/>
              <w:end w:w="90" w:type="dxa"/>
            </w:tcMar>
            <w:vAlign w:val="top"/>
          </w:tcPr>
          <w:p>
            <w:r>
              <w:rPr>
                <w:sz w:val="17"/>
              </w:rPr>
              <w:t>Paramétrage des référentiels, workflows, modèles, calendriers et habilitations.</w:t>
            </w:r>
          </w:p>
        </w:tc>
      </w:tr>
      <w:tr>
        <w:tc>
          <w:tcPr>
            <w:tcW w:type="dxa" w:w="2448"/>
            <w:tcMar>
              <w:top w:w="90" w:type="dxa"/>
              <w:start w:w="90" w:type="dxa"/>
              <w:bottom w:w="90" w:type="dxa"/>
              <w:end w:w="90" w:type="dxa"/>
            </w:tcMar>
            <w:vAlign w:val="top"/>
          </w:tcPr>
          <w:p>
            <w:r>
              <w:rPr>
                <w:sz w:val="17"/>
              </w:rPr>
              <w:t>Auditeur interne / CAC</w:t>
            </w:r>
          </w:p>
        </w:tc>
        <w:tc>
          <w:tcPr>
            <w:tcW w:type="dxa" w:w="7200"/>
            <w:tcMar>
              <w:top w:w="90" w:type="dxa"/>
              <w:start w:w="90" w:type="dxa"/>
              <w:bottom w:w="90" w:type="dxa"/>
              <w:end w:w="90" w:type="dxa"/>
            </w:tcMar>
            <w:vAlign w:val="top"/>
          </w:tcPr>
          <w:p>
            <w:r>
              <w:rPr>
                <w:sz w:val="17"/>
              </w:rPr>
              <w:t>Consultation en lecture seule, extraction des journaux, contrôle des pièces et rapprochements.</w:t>
            </w:r>
          </w:p>
        </w:tc>
      </w:tr>
      <w:tr>
        <w:tc>
          <w:tcPr>
            <w:tcW w:type="dxa" w:w="2448"/>
            <w:tcMar>
              <w:top w:w="90" w:type="dxa"/>
              <w:start w:w="90" w:type="dxa"/>
              <w:bottom w:w="90" w:type="dxa"/>
              <w:end w:w="90" w:type="dxa"/>
            </w:tcMar>
            <w:vAlign w:val="top"/>
          </w:tcPr>
          <w:p>
            <w:r>
              <w:rPr>
                <w:sz w:val="17"/>
              </w:rPr>
              <w:t>Groupement professionnel</w:t>
            </w:r>
          </w:p>
        </w:tc>
        <w:tc>
          <w:tcPr>
            <w:tcW w:type="dxa" w:w="7200"/>
            <w:tcMar>
              <w:top w:w="90" w:type="dxa"/>
              <w:start w:w="90" w:type="dxa"/>
              <w:bottom w:w="90" w:type="dxa"/>
              <w:end w:w="90" w:type="dxa"/>
            </w:tcMar>
            <w:vAlign w:val="top"/>
          </w:tcPr>
          <w:p>
            <w:r>
              <w:rPr>
                <w:sz w:val="17"/>
              </w:rPr>
              <w:t>Enrôlement des prospects, suivi de son portefeuille sectoriel, animation des membres.</w:t>
            </w:r>
          </w:p>
        </w:tc>
      </w:tr>
      <w:tr>
        <w:tc>
          <w:tcPr>
            <w:tcW w:type="dxa" w:w="2448"/>
            <w:tcMar>
              <w:top w:w="90" w:type="dxa"/>
              <w:start w:w="90" w:type="dxa"/>
              <w:bottom w:w="90" w:type="dxa"/>
              <w:end w:w="90" w:type="dxa"/>
            </w:tcMar>
            <w:vAlign w:val="top"/>
          </w:tcPr>
          <w:p>
            <w:r>
              <w:rPr>
                <w:sz w:val="17"/>
              </w:rPr>
              <w:t>Entreprise membre</w:t>
            </w:r>
          </w:p>
        </w:tc>
        <w:tc>
          <w:tcPr>
            <w:tcW w:type="dxa" w:w="7200"/>
            <w:tcMar>
              <w:top w:w="90" w:type="dxa"/>
              <w:start w:w="90" w:type="dxa"/>
              <w:bottom w:w="90" w:type="dxa"/>
              <w:end w:w="90" w:type="dxa"/>
            </w:tcMar>
            <w:vAlign w:val="top"/>
          </w:tcPr>
          <w:p>
            <w:r>
              <w:rPr>
                <w:sz w:val="17"/>
              </w:rPr>
              <w:t>Gestion de son profil, consultation des cotisations, paiement, requêtes et services.</w:t>
            </w:r>
          </w:p>
        </w:tc>
      </w:tr>
      <w:tr>
        <w:tc>
          <w:tcPr>
            <w:tcW w:type="dxa" w:w="2448"/>
            <w:tcMar>
              <w:top w:w="90" w:type="dxa"/>
              <w:start w:w="90" w:type="dxa"/>
              <w:bottom w:w="90" w:type="dxa"/>
              <w:end w:w="90" w:type="dxa"/>
            </w:tcMar>
            <w:vAlign w:val="top"/>
          </w:tcPr>
          <w:p>
            <w:r>
              <w:rPr>
                <w:sz w:val="17"/>
              </w:rPr>
              <w:t>Prospect</w:t>
            </w:r>
          </w:p>
        </w:tc>
        <w:tc>
          <w:tcPr>
            <w:tcW w:type="dxa" w:w="7200"/>
            <w:tcMar>
              <w:top w:w="90" w:type="dxa"/>
              <w:start w:w="90" w:type="dxa"/>
              <w:bottom w:w="90" w:type="dxa"/>
              <w:end w:w="90" w:type="dxa"/>
            </w:tcMar>
            <w:vAlign w:val="top"/>
          </w:tcPr>
          <w:p>
            <w:r>
              <w:rPr>
                <w:sz w:val="17"/>
              </w:rPr>
              <w:t>Pré-enrôlement, demande d’adhésion, suivi de dossier et paiement initial.</w:t>
            </w:r>
          </w:p>
        </w:tc>
      </w:tr>
      <w:tr>
        <w:tc>
          <w:tcPr>
            <w:tcW w:type="dxa" w:w="2448"/>
            <w:tcMar>
              <w:top w:w="90" w:type="dxa"/>
              <w:start w:w="90" w:type="dxa"/>
              <w:bottom w:w="90" w:type="dxa"/>
              <w:end w:w="90" w:type="dxa"/>
            </w:tcMar>
            <w:vAlign w:val="top"/>
          </w:tcPr>
          <w:p>
            <w:r>
              <w:rPr>
                <w:sz w:val="17"/>
              </w:rPr>
              <w:t>Prestataire technique</w:t>
            </w:r>
          </w:p>
        </w:tc>
        <w:tc>
          <w:tcPr>
            <w:tcW w:type="dxa" w:w="7200"/>
            <w:tcMar>
              <w:top w:w="90" w:type="dxa"/>
              <w:start w:w="90" w:type="dxa"/>
              <w:bottom w:w="90" w:type="dxa"/>
              <w:end w:w="90" w:type="dxa"/>
            </w:tcMar>
            <w:vAlign w:val="top"/>
          </w:tcPr>
          <w:p>
            <w:r>
              <w:rPr>
                <w:sz w:val="17"/>
              </w:rPr>
              <w:t>Administration technique sous contrôle, support, supervision et maintenance.</w:t>
            </w:r>
          </w:p>
        </w:tc>
      </w:tr>
    </w:tbl>
    <w:p>
      <w:pPr>
        <w:spacing w:after="20"/>
      </w:pPr>
    </w:p>
    <w:p>
      <w:pPr>
        <w:pStyle w:val="Heading2"/>
      </w:pPr>
      <w:r>
        <w:t>3.2 Matrice des rôles et habilitations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1452"/>
        <w:gridCol w:w="1452"/>
        <w:gridCol w:w="1452"/>
        <w:gridCol w:w="1452"/>
        <w:gridCol w:w="1452"/>
        <w:gridCol w:w="1452"/>
        <w:gridCol w:w="1452"/>
      </w:tblGrid>
      <w:tr>
        <w:trPr>
          <w:tblHeader w:val="true"/>
        </w:trPr>
        <w:tc>
          <w:tcPr>
            <w:tcW w:type="dxa" w:w="223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Rôle</w:t>
            </w:r>
          </w:p>
        </w:tc>
        <w:tc>
          <w:tcPr>
            <w:tcW w:type="dxa" w:w="79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Créer</w:t>
            </w:r>
          </w:p>
        </w:tc>
        <w:tc>
          <w:tcPr>
            <w:tcW w:type="dxa" w:w="936"/>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Valider</w:t>
            </w:r>
          </w:p>
        </w:tc>
        <w:tc>
          <w:tcPr>
            <w:tcW w:type="dxa" w:w="151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Encaisser / rapprocher</w:t>
            </w:r>
          </w:p>
        </w:tc>
        <w:tc>
          <w:tcPr>
            <w:tcW w:type="dxa" w:w="10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Émettre reçu</w:t>
            </w:r>
          </w:p>
        </w:tc>
        <w:tc>
          <w:tcPr>
            <w:tcW w:type="dxa" w:w="936"/>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Voir BI</w:t>
            </w:r>
          </w:p>
        </w:tc>
        <w:tc>
          <w:tcPr>
            <w:tcW w:type="dxa" w:w="144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Administrer</w:t>
            </w:r>
          </w:p>
        </w:tc>
      </w:tr>
      <w:tr>
        <w:tc>
          <w:tcPr>
            <w:tcW w:type="dxa" w:w="2232"/>
            <w:tcMar>
              <w:top w:w="90" w:type="dxa"/>
              <w:start w:w="90" w:type="dxa"/>
              <w:bottom w:w="90" w:type="dxa"/>
              <w:end w:w="90" w:type="dxa"/>
            </w:tcMar>
            <w:vAlign w:val="top"/>
          </w:tcPr>
          <w:p>
            <w:r>
              <w:rPr>
                <w:sz w:val="15"/>
              </w:rPr>
              <w:t>Super administrateur CNPM</w:t>
            </w:r>
          </w:p>
        </w:tc>
        <w:tc>
          <w:tcPr>
            <w:tcW w:type="dxa" w:w="792"/>
            <w:tcMar>
              <w:top w:w="90" w:type="dxa"/>
              <w:start w:w="90" w:type="dxa"/>
              <w:bottom w:w="90" w:type="dxa"/>
              <w:end w:w="90" w:type="dxa"/>
            </w:tcMar>
            <w:vAlign w:val="top"/>
          </w:tcPr>
          <w:p>
            <w:r>
              <w:rPr>
                <w:sz w:val="15"/>
              </w:rPr>
              <w:t>Oui</w:t>
            </w:r>
          </w:p>
        </w:tc>
        <w:tc>
          <w:tcPr>
            <w:tcW w:type="dxa" w:w="936"/>
            <w:tcMar>
              <w:top w:w="90" w:type="dxa"/>
              <w:start w:w="90" w:type="dxa"/>
              <w:bottom w:w="90" w:type="dxa"/>
              <w:end w:w="90" w:type="dxa"/>
            </w:tcMar>
            <w:vAlign w:val="top"/>
          </w:tcPr>
          <w:p>
            <w:r>
              <w:rPr>
                <w:sz w:val="15"/>
              </w:rPr>
              <w:t>Oui</w:t>
            </w:r>
          </w:p>
        </w:tc>
        <w:tc>
          <w:tcPr>
            <w:tcW w:type="dxa" w:w="1512"/>
            <w:tcMar>
              <w:top w:w="90" w:type="dxa"/>
              <w:start w:w="90" w:type="dxa"/>
              <w:bottom w:w="90" w:type="dxa"/>
              <w:end w:w="90" w:type="dxa"/>
            </w:tcMar>
            <w:vAlign w:val="top"/>
          </w:tcPr>
          <w:p>
            <w:r>
              <w:rPr>
                <w:sz w:val="15"/>
              </w:rPr>
              <w:t>Selon délégation</w:t>
            </w:r>
          </w:p>
        </w:tc>
        <w:tc>
          <w:tcPr>
            <w:tcW w:type="dxa" w:w="1080"/>
            <w:tcMar>
              <w:top w:w="90" w:type="dxa"/>
              <w:start w:w="90" w:type="dxa"/>
              <w:bottom w:w="90" w:type="dxa"/>
              <w:end w:w="90" w:type="dxa"/>
            </w:tcMar>
            <w:vAlign w:val="top"/>
          </w:tcPr>
          <w:p>
            <w:r>
              <w:rPr>
                <w:sz w:val="15"/>
              </w:rPr>
              <w:t>Oui</w:t>
            </w:r>
          </w:p>
        </w:tc>
        <w:tc>
          <w:tcPr>
            <w:tcW w:type="dxa" w:w="936"/>
            <w:tcMar>
              <w:top w:w="90" w:type="dxa"/>
              <w:start w:w="90" w:type="dxa"/>
              <w:bottom w:w="90" w:type="dxa"/>
              <w:end w:w="90" w:type="dxa"/>
            </w:tcMar>
            <w:vAlign w:val="top"/>
          </w:tcPr>
          <w:p>
            <w:r>
              <w:rPr>
                <w:sz w:val="15"/>
              </w:rPr>
              <w:t>Complet</w:t>
            </w:r>
          </w:p>
        </w:tc>
        <w:tc>
          <w:tcPr>
            <w:tcW w:type="dxa" w:w="1440"/>
            <w:tcMar>
              <w:top w:w="90" w:type="dxa"/>
              <w:start w:w="90" w:type="dxa"/>
              <w:bottom w:w="90" w:type="dxa"/>
              <w:end w:w="90" w:type="dxa"/>
            </w:tcMar>
            <w:vAlign w:val="top"/>
          </w:tcPr>
          <w:p>
            <w:r>
              <w:rPr>
                <w:sz w:val="15"/>
              </w:rPr>
              <w:t>Complet</w:t>
            </w:r>
          </w:p>
        </w:tc>
      </w:tr>
      <w:tr>
        <w:tc>
          <w:tcPr>
            <w:tcW w:type="dxa" w:w="2232"/>
            <w:tcMar>
              <w:top w:w="90" w:type="dxa"/>
              <w:start w:w="90" w:type="dxa"/>
              <w:bottom w:w="90" w:type="dxa"/>
              <w:end w:w="90" w:type="dxa"/>
            </w:tcMar>
            <w:vAlign w:val="top"/>
          </w:tcPr>
          <w:p>
            <w:r>
              <w:rPr>
                <w:sz w:val="15"/>
              </w:rPr>
              <w:t>Gestionnaire membres</w:t>
            </w:r>
          </w:p>
        </w:tc>
        <w:tc>
          <w:tcPr>
            <w:tcW w:type="dxa" w:w="792"/>
            <w:tcMar>
              <w:top w:w="90" w:type="dxa"/>
              <w:start w:w="90" w:type="dxa"/>
              <w:bottom w:w="90" w:type="dxa"/>
              <w:end w:w="90" w:type="dxa"/>
            </w:tcMar>
            <w:vAlign w:val="top"/>
          </w:tcPr>
          <w:p>
            <w:r>
              <w:rPr>
                <w:sz w:val="15"/>
              </w:rPr>
              <w:t>Oui</w:t>
            </w:r>
          </w:p>
        </w:tc>
        <w:tc>
          <w:tcPr>
            <w:tcW w:type="dxa" w:w="936"/>
            <w:tcMar>
              <w:top w:w="90" w:type="dxa"/>
              <w:start w:w="90" w:type="dxa"/>
              <w:bottom w:w="90" w:type="dxa"/>
              <w:end w:w="90" w:type="dxa"/>
            </w:tcMar>
            <w:vAlign w:val="top"/>
          </w:tcPr>
          <w:p>
            <w:r>
              <w:rPr>
                <w:sz w:val="15"/>
              </w:rPr>
              <w:t>Adhésion niveau 1</w:t>
            </w:r>
          </w:p>
        </w:tc>
        <w:tc>
          <w:tcPr>
            <w:tcW w:type="dxa" w:w="1512"/>
            <w:tcMar>
              <w:top w:w="90" w:type="dxa"/>
              <w:start w:w="90" w:type="dxa"/>
              <w:bottom w:w="90" w:type="dxa"/>
              <w:end w:w="90" w:type="dxa"/>
            </w:tcMar>
            <w:vAlign w:val="top"/>
          </w:tcPr>
          <w:p>
            <w:r>
              <w:rPr>
                <w:sz w:val="15"/>
              </w:rPr>
              <w:t>Non</w:t>
            </w:r>
          </w:p>
        </w:tc>
        <w:tc>
          <w:tcPr>
            <w:tcW w:type="dxa" w:w="1080"/>
            <w:tcMar>
              <w:top w:w="90" w:type="dxa"/>
              <w:start w:w="90" w:type="dxa"/>
              <w:bottom w:w="90" w:type="dxa"/>
              <w:end w:w="90" w:type="dxa"/>
            </w:tcMar>
            <w:vAlign w:val="top"/>
          </w:tcPr>
          <w:p>
            <w:r>
              <w:rPr>
                <w:sz w:val="15"/>
              </w:rPr>
              <w:t>Non</w:t>
            </w:r>
          </w:p>
        </w:tc>
        <w:tc>
          <w:tcPr>
            <w:tcW w:type="dxa" w:w="936"/>
            <w:tcMar>
              <w:top w:w="90" w:type="dxa"/>
              <w:start w:w="90" w:type="dxa"/>
              <w:bottom w:w="90" w:type="dxa"/>
              <w:end w:w="90" w:type="dxa"/>
            </w:tcMar>
            <w:vAlign w:val="top"/>
          </w:tcPr>
          <w:p>
            <w:r>
              <w:rPr>
                <w:sz w:val="15"/>
              </w:rPr>
              <w:t>Membres</w:t>
            </w:r>
          </w:p>
        </w:tc>
        <w:tc>
          <w:tcPr>
            <w:tcW w:type="dxa" w:w="1440"/>
            <w:tcMar>
              <w:top w:w="90" w:type="dxa"/>
              <w:start w:w="90" w:type="dxa"/>
              <w:bottom w:w="90" w:type="dxa"/>
              <w:end w:w="90" w:type="dxa"/>
            </w:tcMar>
            <w:vAlign w:val="top"/>
          </w:tcPr>
          <w:p>
            <w:r>
              <w:rPr>
                <w:sz w:val="15"/>
              </w:rPr>
              <w:t>Référentiels limités</w:t>
            </w:r>
          </w:p>
        </w:tc>
      </w:tr>
      <w:tr>
        <w:tc>
          <w:tcPr>
            <w:tcW w:type="dxa" w:w="2232"/>
            <w:tcMar>
              <w:top w:w="90" w:type="dxa"/>
              <w:start w:w="90" w:type="dxa"/>
              <w:bottom w:w="90" w:type="dxa"/>
              <w:end w:w="90" w:type="dxa"/>
            </w:tcMar>
            <w:vAlign w:val="top"/>
          </w:tcPr>
          <w:p>
            <w:r>
              <w:rPr>
                <w:sz w:val="15"/>
              </w:rPr>
              <w:t>Responsable financier</w:t>
            </w:r>
          </w:p>
        </w:tc>
        <w:tc>
          <w:tcPr>
            <w:tcW w:type="dxa" w:w="792"/>
            <w:tcMar>
              <w:top w:w="90" w:type="dxa"/>
              <w:start w:w="90" w:type="dxa"/>
              <w:bottom w:w="90" w:type="dxa"/>
              <w:end w:w="90" w:type="dxa"/>
            </w:tcMar>
            <w:vAlign w:val="top"/>
          </w:tcPr>
          <w:p>
            <w:r>
              <w:rPr>
                <w:sz w:val="15"/>
              </w:rPr>
              <w:t>Appels</w:t>
            </w:r>
          </w:p>
        </w:tc>
        <w:tc>
          <w:tcPr>
            <w:tcW w:type="dxa" w:w="936"/>
            <w:tcMar>
              <w:top w:w="90" w:type="dxa"/>
              <w:start w:w="90" w:type="dxa"/>
              <w:bottom w:w="90" w:type="dxa"/>
              <w:end w:w="90" w:type="dxa"/>
            </w:tcMar>
            <w:vAlign w:val="top"/>
          </w:tcPr>
          <w:p>
            <w:r>
              <w:rPr>
                <w:sz w:val="15"/>
              </w:rPr>
              <w:t>Paiements / annulations</w:t>
            </w:r>
          </w:p>
        </w:tc>
        <w:tc>
          <w:tcPr>
            <w:tcW w:type="dxa" w:w="1512"/>
            <w:tcMar>
              <w:top w:w="90" w:type="dxa"/>
              <w:start w:w="90" w:type="dxa"/>
              <w:bottom w:w="90" w:type="dxa"/>
              <w:end w:w="90" w:type="dxa"/>
            </w:tcMar>
            <w:vAlign w:val="top"/>
          </w:tcPr>
          <w:p>
            <w:r>
              <w:rPr>
                <w:sz w:val="15"/>
              </w:rPr>
              <w:t>Oui</w:t>
            </w:r>
          </w:p>
        </w:tc>
        <w:tc>
          <w:tcPr>
            <w:tcW w:type="dxa" w:w="1080"/>
            <w:tcMar>
              <w:top w:w="90" w:type="dxa"/>
              <w:start w:w="90" w:type="dxa"/>
              <w:bottom w:w="90" w:type="dxa"/>
              <w:end w:w="90" w:type="dxa"/>
            </w:tcMar>
            <w:vAlign w:val="top"/>
          </w:tcPr>
          <w:p>
            <w:r>
              <w:rPr>
                <w:sz w:val="15"/>
              </w:rPr>
              <w:t>Oui</w:t>
            </w:r>
          </w:p>
        </w:tc>
        <w:tc>
          <w:tcPr>
            <w:tcW w:type="dxa" w:w="936"/>
            <w:tcMar>
              <w:top w:w="90" w:type="dxa"/>
              <w:start w:w="90" w:type="dxa"/>
              <w:bottom w:w="90" w:type="dxa"/>
              <w:end w:w="90" w:type="dxa"/>
            </w:tcMar>
            <w:vAlign w:val="top"/>
          </w:tcPr>
          <w:p>
            <w:r>
              <w:rPr>
                <w:sz w:val="15"/>
              </w:rPr>
              <w:t>Finance</w:t>
            </w:r>
          </w:p>
        </w:tc>
        <w:tc>
          <w:tcPr>
            <w:tcW w:type="dxa" w:w="1440"/>
            <w:tcMar>
              <w:top w:w="90" w:type="dxa"/>
              <w:start w:w="90" w:type="dxa"/>
              <w:bottom w:w="90" w:type="dxa"/>
              <w:end w:w="90" w:type="dxa"/>
            </w:tcMar>
            <w:vAlign w:val="top"/>
          </w:tcPr>
          <w:p>
            <w:r>
              <w:rPr>
                <w:sz w:val="15"/>
              </w:rPr>
              <w:t>Barèmes</w:t>
            </w:r>
          </w:p>
        </w:tc>
      </w:tr>
      <w:tr>
        <w:tc>
          <w:tcPr>
            <w:tcW w:type="dxa" w:w="2232"/>
            <w:tcMar>
              <w:top w:w="90" w:type="dxa"/>
              <w:start w:w="90" w:type="dxa"/>
              <w:bottom w:w="90" w:type="dxa"/>
              <w:end w:w="90" w:type="dxa"/>
            </w:tcMar>
            <w:vAlign w:val="top"/>
          </w:tcPr>
          <w:p>
            <w:r>
              <w:rPr>
                <w:sz w:val="15"/>
              </w:rPr>
              <w:t>Agent recouvrement</w:t>
            </w:r>
          </w:p>
        </w:tc>
        <w:tc>
          <w:tcPr>
            <w:tcW w:type="dxa" w:w="792"/>
            <w:tcMar>
              <w:top w:w="90" w:type="dxa"/>
              <w:start w:w="90" w:type="dxa"/>
              <w:bottom w:w="90" w:type="dxa"/>
              <w:end w:w="90" w:type="dxa"/>
            </w:tcMar>
            <w:vAlign w:val="top"/>
          </w:tcPr>
          <w:p>
            <w:r>
              <w:rPr>
                <w:sz w:val="15"/>
              </w:rPr>
              <w:t>Prospects / activités</w:t>
            </w:r>
          </w:p>
        </w:tc>
        <w:tc>
          <w:tcPr>
            <w:tcW w:type="dxa" w:w="936"/>
            <w:tcMar>
              <w:top w:w="90" w:type="dxa"/>
              <w:start w:w="90" w:type="dxa"/>
              <w:bottom w:w="90" w:type="dxa"/>
              <w:end w:w="90" w:type="dxa"/>
            </w:tcMar>
            <w:vAlign w:val="top"/>
          </w:tcPr>
          <w:p>
            <w:r>
              <w:rPr>
                <w:sz w:val="15"/>
              </w:rPr>
              <w:t>Non</w:t>
            </w:r>
          </w:p>
        </w:tc>
        <w:tc>
          <w:tcPr>
            <w:tcW w:type="dxa" w:w="1512"/>
            <w:tcMar>
              <w:top w:w="90" w:type="dxa"/>
              <w:start w:w="90" w:type="dxa"/>
              <w:bottom w:w="90" w:type="dxa"/>
              <w:end w:w="90" w:type="dxa"/>
            </w:tcMar>
            <w:vAlign w:val="top"/>
          </w:tcPr>
          <w:p>
            <w:r>
              <w:rPr>
                <w:sz w:val="15"/>
              </w:rPr>
              <w:t>Saisie preuve uniquement</w:t>
            </w:r>
          </w:p>
        </w:tc>
        <w:tc>
          <w:tcPr>
            <w:tcW w:type="dxa" w:w="1080"/>
            <w:tcMar>
              <w:top w:w="90" w:type="dxa"/>
              <w:start w:w="90" w:type="dxa"/>
              <w:bottom w:w="90" w:type="dxa"/>
              <w:end w:w="90" w:type="dxa"/>
            </w:tcMar>
            <w:vAlign w:val="top"/>
          </w:tcPr>
          <w:p>
            <w:r>
              <w:rPr>
                <w:sz w:val="15"/>
              </w:rPr>
              <w:t>Non</w:t>
            </w:r>
          </w:p>
        </w:tc>
        <w:tc>
          <w:tcPr>
            <w:tcW w:type="dxa" w:w="936"/>
            <w:tcMar>
              <w:top w:w="90" w:type="dxa"/>
              <w:start w:w="90" w:type="dxa"/>
              <w:bottom w:w="90" w:type="dxa"/>
              <w:end w:w="90" w:type="dxa"/>
            </w:tcMar>
            <w:vAlign w:val="top"/>
          </w:tcPr>
          <w:p>
            <w:r>
              <w:rPr>
                <w:sz w:val="15"/>
              </w:rPr>
              <w:t>Portefeuille</w:t>
            </w:r>
          </w:p>
        </w:tc>
        <w:tc>
          <w:tcPr>
            <w:tcW w:type="dxa" w:w="1440"/>
            <w:tcMar>
              <w:top w:w="90" w:type="dxa"/>
              <w:start w:w="90" w:type="dxa"/>
              <w:bottom w:w="90" w:type="dxa"/>
              <w:end w:w="90" w:type="dxa"/>
            </w:tcMar>
            <w:vAlign w:val="top"/>
          </w:tcPr>
          <w:p>
            <w:r>
              <w:rPr>
                <w:sz w:val="15"/>
              </w:rPr>
              <w:t>Non</w:t>
            </w:r>
          </w:p>
        </w:tc>
      </w:tr>
      <w:tr>
        <w:tc>
          <w:tcPr>
            <w:tcW w:type="dxa" w:w="2232"/>
            <w:tcMar>
              <w:top w:w="90" w:type="dxa"/>
              <w:start w:w="90" w:type="dxa"/>
              <w:bottom w:w="90" w:type="dxa"/>
              <w:end w:w="90" w:type="dxa"/>
            </w:tcMar>
            <w:vAlign w:val="top"/>
          </w:tcPr>
          <w:p>
            <w:r>
              <w:rPr>
                <w:sz w:val="15"/>
              </w:rPr>
              <w:t>Groupement</w:t>
            </w:r>
          </w:p>
        </w:tc>
        <w:tc>
          <w:tcPr>
            <w:tcW w:type="dxa" w:w="792"/>
            <w:tcMar>
              <w:top w:w="90" w:type="dxa"/>
              <w:start w:w="90" w:type="dxa"/>
              <w:bottom w:w="90" w:type="dxa"/>
              <w:end w:w="90" w:type="dxa"/>
            </w:tcMar>
            <w:vAlign w:val="top"/>
          </w:tcPr>
          <w:p>
            <w:r>
              <w:rPr>
                <w:sz w:val="15"/>
              </w:rPr>
              <w:t>Prospects</w:t>
            </w:r>
          </w:p>
        </w:tc>
        <w:tc>
          <w:tcPr>
            <w:tcW w:type="dxa" w:w="936"/>
            <w:tcMar>
              <w:top w:w="90" w:type="dxa"/>
              <w:start w:w="90" w:type="dxa"/>
              <w:bottom w:w="90" w:type="dxa"/>
              <w:end w:w="90" w:type="dxa"/>
            </w:tcMar>
            <w:vAlign w:val="top"/>
          </w:tcPr>
          <w:p>
            <w:r>
              <w:rPr>
                <w:sz w:val="15"/>
              </w:rPr>
              <w:t>Pré-validation</w:t>
            </w:r>
          </w:p>
        </w:tc>
        <w:tc>
          <w:tcPr>
            <w:tcW w:type="dxa" w:w="1512"/>
            <w:tcMar>
              <w:top w:w="90" w:type="dxa"/>
              <w:start w:w="90" w:type="dxa"/>
              <w:bottom w:w="90" w:type="dxa"/>
              <w:end w:w="90" w:type="dxa"/>
            </w:tcMar>
            <w:vAlign w:val="top"/>
          </w:tcPr>
          <w:p>
            <w:r>
              <w:rPr>
                <w:sz w:val="15"/>
              </w:rPr>
              <w:t>Non</w:t>
            </w:r>
          </w:p>
        </w:tc>
        <w:tc>
          <w:tcPr>
            <w:tcW w:type="dxa" w:w="1080"/>
            <w:tcMar>
              <w:top w:w="90" w:type="dxa"/>
              <w:start w:w="90" w:type="dxa"/>
              <w:bottom w:w="90" w:type="dxa"/>
              <w:end w:w="90" w:type="dxa"/>
            </w:tcMar>
            <w:vAlign w:val="top"/>
          </w:tcPr>
          <w:p>
            <w:r>
              <w:rPr>
                <w:sz w:val="15"/>
              </w:rPr>
              <w:t>Non</w:t>
            </w:r>
          </w:p>
        </w:tc>
        <w:tc>
          <w:tcPr>
            <w:tcW w:type="dxa" w:w="936"/>
            <w:tcMar>
              <w:top w:w="90" w:type="dxa"/>
              <w:start w:w="90" w:type="dxa"/>
              <w:bottom w:w="90" w:type="dxa"/>
              <w:end w:w="90" w:type="dxa"/>
            </w:tcMar>
            <w:vAlign w:val="top"/>
          </w:tcPr>
          <w:p>
            <w:r>
              <w:rPr>
                <w:sz w:val="15"/>
              </w:rPr>
              <w:t>Périmètre propre</w:t>
            </w:r>
          </w:p>
        </w:tc>
        <w:tc>
          <w:tcPr>
            <w:tcW w:type="dxa" w:w="1440"/>
            <w:tcMar>
              <w:top w:w="90" w:type="dxa"/>
              <w:start w:w="90" w:type="dxa"/>
              <w:bottom w:w="90" w:type="dxa"/>
              <w:end w:w="90" w:type="dxa"/>
            </w:tcMar>
            <w:vAlign w:val="top"/>
          </w:tcPr>
          <w:p>
            <w:r>
              <w:rPr>
                <w:sz w:val="15"/>
              </w:rPr>
              <w:t>Non</w:t>
            </w:r>
          </w:p>
        </w:tc>
      </w:tr>
      <w:tr>
        <w:tc>
          <w:tcPr>
            <w:tcW w:type="dxa" w:w="2232"/>
            <w:tcMar>
              <w:top w:w="90" w:type="dxa"/>
              <w:start w:w="90" w:type="dxa"/>
              <w:bottom w:w="90" w:type="dxa"/>
              <w:end w:w="90" w:type="dxa"/>
            </w:tcMar>
            <w:vAlign w:val="top"/>
          </w:tcPr>
          <w:p>
            <w:r>
              <w:rPr>
                <w:sz w:val="15"/>
              </w:rPr>
              <w:t>Auditeur</w:t>
            </w:r>
          </w:p>
        </w:tc>
        <w:tc>
          <w:tcPr>
            <w:tcW w:type="dxa" w:w="792"/>
            <w:tcMar>
              <w:top w:w="90" w:type="dxa"/>
              <w:start w:w="90" w:type="dxa"/>
              <w:bottom w:w="90" w:type="dxa"/>
              <w:end w:w="90" w:type="dxa"/>
            </w:tcMar>
            <w:vAlign w:val="top"/>
          </w:tcPr>
          <w:p>
            <w:r>
              <w:rPr>
                <w:sz w:val="15"/>
              </w:rPr>
              <w:t>Non</w:t>
            </w:r>
          </w:p>
        </w:tc>
        <w:tc>
          <w:tcPr>
            <w:tcW w:type="dxa" w:w="936"/>
            <w:tcMar>
              <w:top w:w="90" w:type="dxa"/>
              <w:start w:w="90" w:type="dxa"/>
              <w:bottom w:w="90" w:type="dxa"/>
              <w:end w:w="90" w:type="dxa"/>
            </w:tcMar>
            <w:vAlign w:val="top"/>
          </w:tcPr>
          <w:p>
            <w:r>
              <w:rPr>
                <w:sz w:val="15"/>
              </w:rPr>
              <w:t>Non</w:t>
            </w:r>
          </w:p>
        </w:tc>
        <w:tc>
          <w:tcPr>
            <w:tcW w:type="dxa" w:w="1512"/>
            <w:tcMar>
              <w:top w:w="90" w:type="dxa"/>
              <w:start w:w="90" w:type="dxa"/>
              <w:bottom w:w="90" w:type="dxa"/>
              <w:end w:w="90" w:type="dxa"/>
            </w:tcMar>
            <w:vAlign w:val="top"/>
          </w:tcPr>
          <w:p>
            <w:r>
              <w:rPr>
                <w:sz w:val="15"/>
              </w:rPr>
              <w:t>Non</w:t>
            </w:r>
          </w:p>
        </w:tc>
        <w:tc>
          <w:tcPr>
            <w:tcW w:type="dxa" w:w="1080"/>
            <w:tcMar>
              <w:top w:w="90" w:type="dxa"/>
              <w:start w:w="90" w:type="dxa"/>
              <w:bottom w:w="90" w:type="dxa"/>
              <w:end w:w="90" w:type="dxa"/>
            </w:tcMar>
            <w:vAlign w:val="top"/>
          </w:tcPr>
          <w:p>
            <w:r>
              <w:rPr>
                <w:sz w:val="15"/>
              </w:rPr>
              <w:t>Non</w:t>
            </w:r>
          </w:p>
        </w:tc>
        <w:tc>
          <w:tcPr>
            <w:tcW w:type="dxa" w:w="936"/>
            <w:tcMar>
              <w:top w:w="90" w:type="dxa"/>
              <w:start w:w="90" w:type="dxa"/>
              <w:bottom w:w="90" w:type="dxa"/>
              <w:end w:w="90" w:type="dxa"/>
            </w:tcMar>
            <w:vAlign w:val="top"/>
          </w:tcPr>
          <w:p>
            <w:r>
              <w:rPr>
                <w:sz w:val="15"/>
              </w:rPr>
              <w:t>Lecture + exports</w:t>
            </w:r>
          </w:p>
        </w:tc>
        <w:tc>
          <w:tcPr>
            <w:tcW w:type="dxa" w:w="1440"/>
            <w:tcMar>
              <w:top w:w="90" w:type="dxa"/>
              <w:start w:w="90" w:type="dxa"/>
              <w:bottom w:w="90" w:type="dxa"/>
              <w:end w:w="90" w:type="dxa"/>
            </w:tcMar>
            <w:vAlign w:val="top"/>
          </w:tcPr>
          <w:p>
            <w:r>
              <w:rPr>
                <w:sz w:val="15"/>
              </w:rPr>
              <w:t>Non</w:t>
            </w:r>
          </w:p>
        </w:tc>
      </w:tr>
      <w:tr>
        <w:tc>
          <w:tcPr>
            <w:tcW w:type="dxa" w:w="2232"/>
            <w:tcMar>
              <w:top w:w="90" w:type="dxa"/>
              <w:start w:w="90" w:type="dxa"/>
              <w:bottom w:w="90" w:type="dxa"/>
              <w:end w:w="90" w:type="dxa"/>
            </w:tcMar>
            <w:vAlign w:val="top"/>
          </w:tcPr>
          <w:p>
            <w:r>
              <w:rPr>
                <w:sz w:val="15"/>
              </w:rPr>
              <w:t>Membre</w:t>
            </w:r>
          </w:p>
        </w:tc>
        <w:tc>
          <w:tcPr>
            <w:tcW w:type="dxa" w:w="792"/>
            <w:tcMar>
              <w:top w:w="90" w:type="dxa"/>
              <w:start w:w="90" w:type="dxa"/>
              <w:bottom w:w="90" w:type="dxa"/>
              <w:end w:w="90" w:type="dxa"/>
            </w:tcMar>
            <w:vAlign w:val="top"/>
          </w:tcPr>
          <w:p>
            <w:r>
              <w:rPr>
                <w:sz w:val="15"/>
              </w:rPr>
              <w:t>Profil / requêtes</w:t>
            </w:r>
          </w:p>
        </w:tc>
        <w:tc>
          <w:tcPr>
            <w:tcW w:type="dxa" w:w="936"/>
            <w:tcMar>
              <w:top w:w="90" w:type="dxa"/>
              <w:start w:w="90" w:type="dxa"/>
              <w:bottom w:w="90" w:type="dxa"/>
              <w:end w:w="90" w:type="dxa"/>
            </w:tcMar>
            <w:vAlign w:val="top"/>
          </w:tcPr>
          <w:p>
            <w:r>
              <w:rPr>
                <w:sz w:val="15"/>
              </w:rPr>
              <w:t>Non</w:t>
            </w:r>
          </w:p>
        </w:tc>
        <w:tc>
          <w:tcPr>
            <w:tcW w:type="dxa" w:w="1512"/>
            <w:tcMar>
              <w:top w:w="90" w:type="dxa"/>
              <w:start w:w="90" w:type="dxa"/>
              <w:bottom w:w="90" w:type="dxa"/>
              <w:end w:w="90" w:type="dxa"/>
            </w:tcMar>
            <w:vAlign w:val="top"/>
          </w:tcPr>
          <w:p>
            <w:r>
              <w:rPr>
                <w:sz w:val="15"/>
              </w:rPr>
              <w:t>Paiement propre</w:t>
            </w:r>
          </w:p>
        </w:tc>
        <w:tc>
          <w:tcPr>
            <w:tcW w:type="dxa" w:w="1080"/>
            <w:tcMar>
              <w:top w:w="90" w:type="dxa"/>
              <w:start w:w="90" w:type="dxa"/>
              <w:bottom w:w="90" w:type="dxa"/>
              <w:end w:w="90" w:type="dxa"/>
            </w:tcMar>
            <w:vAlign w:val="top"/>
          </w:tcPr>
          <w:p>
            <w:r>
              <w:rPr>
                <w:sz w:val="15"/>
              </w:rPr>
              <w:t>Téléchargement</w:t>
            </w:r>
          </w:p>
        </w:tc>
        <w:tc>
          <w:tcPr>
            <w:tcW w:type="dxa" w:w="936"/>
            <w:tcMar>
              <w:top w:w="90" w:type="dxa"/>
              <w:start w:w="90" w:type="dxa"/>
              <w:bottom w:w="90" w:type="dxa"/>
              <w:end w:w="90" w:type="dxa"/>
            </w:tcMar>
            <w:vAlign w:val="top"/>
          </w:tcPr>
          <w:p>
            <w:r>
              <w:rPr>
                <w:sz w:val="15"/>
              </w:rPr>
              <w:t>Compte propre</w:t>
            </w:r>
          </w:p>
        </w:tc>
        <w:tc>
          <w:tcPr>
            <w:tcW w:type="dxa" w:w="1440"/>
            <w:tcMar>
              <w:top w:w="90" w:type="dxa"/>
              <w:start w:w="90" w:type="dxa"/>
              <w:bottom w:w="90" w:type="dxa"/>
              <w:end w:w="90" w:type="dxa"/>
            </w:tcMar>
            <w:vAlign w:val="top"/>
          </w:tcPr>
          <w:p>
            <w:r>
              <w:rPr>
                <w:sz w:val="15"/>
              </w:rPr>
              <w:t>Non</w:t>
            </w:r>
          </w:p>
        </w:tc>
      </w:tr>
    </w:tbl>
    <w:p>
      <w:pPr>
        <w:spacing w:after="20"/>
      </w:pPr>
    </w:p>
    <w:p>
      <w:pPr>
        <w:pStyle w:val="Heading2"/>
      </w:pPr>
      <w:r>
        <w:t>3.3 Principes d’habilitation</w:t>
      </w:r>
    </w:p>
    <w:p>
      <w:pPr>
        <w:pStyle w:val="ListBullet"/>
      </w:pPr>
      <w:r>
        <w:t>Séparation stricte des tâches : un utilisateur ne doit pas initier et valider la même opération sensible sans dérogation tracée.</w:t>
      </w:r>
    </w:p>
    <w:p>
      <w:pPr>
        <w:pStyle w:val="ListBullet"/>
      </w:pPr>
      <w:r>
        <w:t>Habilitations cumulables par rôle, groupement, portefeuille, localisation et montant maximal.</w:t>
      </w:r>
    </w:p>
    <w:p>
      <w:pPr>
        <w:pStyle w:val="ListBullet"/>
      </w:pPr>
      <w:r>
        <w:t>Droits temporaires avec date de début/fin et validation d’un responsable.</w:t>
      </w:r>
    </w:p>
    <w:p>
      <w:pPr>
        <w:pStyle w:val="ListBullet"/>
      </w:pPr>
      <w:r>
        <w:t>Accès auditeur en lecture seule, journalisé et limité dans le temps.</w:t>
      </w:r>
    </w:p>
    <w:p>
      <w:pPr>
        <w:pStyle w:val="ListBullet"/>
      </w:pPr>
      <w:r>
        <w:t>Révision trimestrielle des comptes privilégiés et désactivation automatique des comptes inactifs.</w:t>
      </w:r>
    </w:p>
    <w:p>
      <w:pPr>
        <w:pStyle w:val="Heading1"/>
      </w:pPr>
      <w:r>
        <w:t>4. Architecture fonctionnelle cible</w:t>
      </w:r>
    </w:p>
    <w:p>
      <w:pPr>
        <w:pStyle w:val="Heading2"/>
      </w:pPr>
      <w:r>
        <w:t>4.1 Macro-modules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52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Bloc</w:t>
            </w:r>
          </w:p>
        </w:tc>
        <w:tc>
          <w:tcPr>
            <w:tcW w:type="dxa" w:w="7128"/>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Modules</w:t>
            </w:r>
          </w:p>
        </w:tc>
      </w:tr>
      <w:tr>
        <w:tc>
          <w:tcPr>
            <w:tcW w:type="dxa" w:w="2520"/>
            <w:tcMar>
              <w:top w:w="90" w:type="dxa"/>
              <w:start w:w="90" w:type="dxa"/>
              <w:bottom w:w="90" w:type="dxa"/>
              <w:end w:w="90" w:type="dxa"/>
            </w:tcMar>
            <w:vAlign w:val="top"/>
          </w:tcPr>
          <w:p>
            <w:r>
              <w:rPr>
                <w:sz w:val="17"/>
              </w:rPr>
              <w:t>Front-office public</w:t>
            </w:r>
          </w:p>
        </w:tc>
        <w:tc>
          <w:tcPr>
            <w:tcW w:type="dxa" w:w="7128"/>
            <w:tcMar>
              <w:top w:w="90" w:type="dxa"/>
              <w:start w:w="90" w:type="dxa"/>
              <w:bottom w:w="90" w:type="dxa"/>
              <w:end w:w="90" w:type="dxa"/>
            </w:tcMar>
            <w:vAlign w:val="top"/>
          </w:tcPr>
          <w:p>
            <w:r>
              <w:rPr>
                <w:sz w:val="17"/>
              </w:rPr>
              <w:t>Présentation, adhésion, vérification de reçu, actualités, événements, FAQ.</w:t>
            </w:r>
          </w:p>
        </w:tc>
      </w:tr>
      <w:tr>
        <w:tc>
          <w:tcPr>
            <w:tcW w:type="dxa" w:w="2520"/>
            <w:tcMar>
              <w:top w:w="90" w:type="dxa"/>
              <w:start w:w="90" w:type="dxa"/>
              <w:bottom w:w="90" w:type="dxa"/>
              <w:end w:w="90" w:type="dxa"/>
            </w:tcMar>
            <w:vAlign w:val="top"/>
          </w:tcPr>
          <w:p>
            <w:r>
              <w:rPr>
                <w:sz w:val="17"/>
              </w:rPr>
              <w:t>Portail membre</w:t>
            </w:r>
          </w:p>
        </w:tc>
        <w:tc>
          <w:tcPr>
            <w:tcW w:type="dxa" w:w="7128"/>
            <w:tcMar>
              <w:top w:w="90" w:type="dxa"/>
              <w:start w:w="90" w:type="dxa"/>
              <w:bottom w:w="90" w:type="dxa"/>
              <w:end w:w="90" w:type="dxa"/>
            </w:tcMar>
            <w:vAlign w:val="top"/>
          </w:tcPr>
          <w:p>
            <w:r>
              <w:rPr>
                <w:sz w:val="17"/>
              </w:rPr>
              <w:t>Profil, cotisations, paiements, reçus, attestations, requêtes, documents, notifications.</w:t>
            </w:r>
          </w:p>
        </w:tc>
      </w:tr>
      <w:tr>
        <w:tc>
          <w:tcPr>
            <w:tcW w:type="dxa" w:w="2520"/>
            <w:tcMar>
              <w:top w:w="90" w:type="dxa"/>
              <w:start w:w="90" w:type="dxa"/>
              <w:bottom w:w="90" w:type="dxa"/>
              <w:end w:w="90" w:type="dxa"/>
            </w:tcMar>
            <w:vAlign w:val="top"/>
          </w:tcPr>
          <w:p>
            <w:r>
              <w:rPr>
                <w:sz w:val="17"/>
              </w:rPr>
              <w:t>Application mobile membre</w:t>
            </w:r>
          </w:p>
        </w:tc>
        <w:tc>
          <w:tcPr>
            <w:tcW w:type="dxa" w:w="7128"/>
            <w:tcMar>
              <w:top w:w="90" w:type="dxa"/>
              <w:start w:w="90" w:type="dxa"/>
              <w:bottom w:w="90" w:type="dxa"/>
              <w:end w:w="90" w:type="dxa"/>
            </w:tcMar>
            <w:vAlign w:val="top"/>
          </w:tcPr>
          <w:p>
            <w:r>
              <w:rPr>
                <w:sz w:val="17"/>
              </w:rPr>
              <w:t>Même socle que le portail, paiements simplifiés, notifications push, QR de membre.</w:t>
            </w:r>
          </w:p>
        </w:tc>
      </w:tr>
      <w:tr>
        <w:tc>
          <w:tcPr>
            <w:tcW w:type="dxa" w:w="2520"/>
            <w:tcMar>
              <w:top w:w="90" w:type="dxa"/>
              <w:start w:w="90" w:type="dxa"/>
              <w:bottom w:w="90" w:type="dxa"/>
              <w:end w:w="90" w:type="dxa"/>
            </w:tcMar>
            <w:vAlign w:val="top"/>
          </w:tcPr>
          <w:p>
            <w:r>
              <w:rPr>
                <w:sz w:val="17"/>
              </w:rPr>
              <w:t>Application terrain</w:t>
            </w:r>
          </w:p>
        </w:tc>
        <w:tc>
          <w:tcPr>
            <w:tcW w:type="dxa" w:w="7128"/>
            <w:tcMar>
              <w:top w:w="90" w:type="dxa"/>
              <w:start w:w="90" w:type="dxa"/>
              <w:bottom w:w="90" w:type="dxa"/>
              <w:end w:w="90" w:type="dxa"/>
            </w:tcMar>
            <w:vAlign w:val="top"/>
          </w:tcPr>
          <w:p>
            <w:r>
              <w:rPr>
                <w:sz w:val="17"/>
              </w:rPr>
              <w:t>Enrôlement assisté, visites, géolocalisation consentie, preuves, promesses de paiement, mode dégradé.</w:t>
            </w:r>
          </w:p>
        </w:tc>
      </w:tr>
      <w:tr>
        <w:tc>
          <w:tcPr>
            <w:tcW w:type="dxa" w:w="2520"/>
            <w:tcMar>
              <w:top w:w="90" w:type="dxa"/>
              <w:start w:w="90" w:type="dxa"/>
              <w:bottom w:w="90" w:type="dxa"/>
              <w:end w:w="90" w:type="dxa"/>
            </w:tcMar>
            <w:vAlign w:val="top"/>
          </w:tcPr>
          <w:p>
            <w:r>
              <w:rPr>
                <w:sz w:val="17"/>
              </w:rPr>
              <w:t>Back-office CNPM</w:t>
            </w:r>
          </w:p>
        </w:tc>
        <w:tc>
          <w:tcPr>
            <w:tcW w:type="dxa" w:w="7128"/>
            <w:tcMar>
              <w:top w:w="90" w:type="dxa"/>
              <w:start w:w="90" w:type="dxa"/>
              <w:bottom w:w="90" w:type="dxa"/>
              <w:end w:w="90" w:type="dxa"/>
            </w:tcMar>
            <w:vAlign w:val="top"/>
          </w:tcPr>
          <w:p>
            <w:r>
              <w:rPr>
                <w:sz w:val="17"/>
              </w:rPr>
              <w:t>Membres, cotisations, paiements, rapprochement, relances, services, GED, gouvernance.</w:t>
            </w:r>
          </w:p>
        </w:tc>
      </w:tr>
      <w:tr>
        <w:tc>
          <w:tcPr>
            <w:tcW w:type="dxa" w:w="2520"/>
            <w:tcMar>
              <w:top w:w="90" w:type="dxa"/>
              <w:start w:w="90" w:type="dxa"/>
              <w:bottom w:w="90" w:type="dxa"/>
              <w:end w:w="90" w:type="dxa"/>
            </w:tcMar>
            <w:vAlign w:val="top"/>
          </w:tcPr>
          <w:p>
            <w:r>
              <w:rPr>
                <w:sz w:val="17"/>
              </w:rPr>
              <w:t>Décisionnel</w:t>
            </w:r>
          </w:p>
        </w:tc>
        <w:tc>
          <w:tcPr>
            <w:tcW w:type="dxa" w:w="7128"/>
            <w:tcMar>
              <w:top w:w="90" w:type="dxa"/>
              <w:start w:w="90" w:type="dxa"/>
              <w:bottom w:w="90" w:type="dxa"/>
              <w:end w:w="90" w:type="dxa"/>
            </w:tcMar>
            <w:vAlign w:val="top"/>
          </w:tcPr>
          <w:p>
            <w:r>
              <w:rPr>
                <w:sz w:val="17"/>
              </w:rPr>
              <w:t>Tableaux de bord, analyses, scoring, prévisions, exports, rapports programmés.</w:t>
            </w:r>
          </w:p>
        </w:tc>
      </w:tr>
      <w:tr>
        <w:tc>
          <w:tcPr>
            <w:tcW w:type="dxa" w:w="2520"/>
            <w:tcMar>
              <w:top w:w="90" w:type="dxa"/>
              <w:start w:w="90" w:type="dxa"/>
              <w:bottom w:w="90" w:type="dxa"/>
              <w:end w:w="90" w:type="dxa"/>
            </w:tcMar>
            <w:vAlign w:val="top"/>
          </w:tcPr>
          <w:p>
            <w:r>
              <w:rPr>
                <w:sz w:val="17"/>
              </w:rPr>
              <w:t>Administration</w:t>
            </w:r>
          </w:p>
        </w:tc>
        <w:tc>
          <w:tcPr>
            <w:tcW w:type="dxa" w:w="7128"/>
            <w:tcMar>
              <w:top w:w="90" w:type="dxa"/>
              <w:start w:w="90" w:type="dxa"/>
              <w:bottom w:w="90" w:type="dxa"/>
              <w:end w:w="90" w:type="dxa"/>
            </w:tcMar>
            <w:vAlign w:val="top"/>
          </w:tcPr>
          <w:p>
            <w:r>
              <w:rPr>
                <w:sz w:val="17"/>
              </w:rPr>
              <w:t>Référentiels, utilisateurs, rôles, workflows, modèles, intégrations, supervision.</w:t>
            </w:r>
          </w:p>
        </w:tc>
      </w:tr>
      <w:tr>
        <w:tc>
          <w:tcPr>
            <w:tcW w:type="dxa" w:w="2520"/>
            <w:tcMar>
              <w:top w:w="90" w:type="dxa"/>
              <w:start w:w="90" w:type="dxa"/>
              <w:bottom w:w="90" w:type="dxa"/>
              <w:end w:w="90" w:type="dxa"/>
            </w:tcMar>
            <w:vAlign w:val="top"/>
          </w:tcPr>
          <w:p>
            <w:r>
              <w:rPr>
                <w:sz w:val="17"/>
              </w:rPr>
              <w:t>Intégration</w:t>
            </w:r>
          </w:p>
        </w:tc>
        <w:tc>
          <w:tcPr>
            <w:tcW w:type="dxa" w:w="7128"/>
            <w:tcMar>
              <w:top w:w="90" w:type="dxa"/>
              <w:start w:w="90" w:type="dxa"/>
              <w:bottom w:w="90" w:type="dxa"/>
              <w:end w:w="90" w:type="dxa"/>
            </w:tcMar>
            <w:vAlign w:val="top"/>
          </w:tcPr>
          <w:p>
            <w:r>
              <w:rPr>
                <w:sz w:val="17"/>
              </w:rPr>
              <w:t>API Gateway, Mobile Money, banques, SMS, e-mail, INPS futur, identité et signature.</w:t>
            </w:r>
          </w:p>
        </w:tc>
      </w:tr>
    </w:tbl>
    <w:p>
      <w:pPr>
        <w:spacing w:after="20"/>
      </w:pPr>
    </w:p>
    <w:p>
      <w:pPr>
        <w:pStyle w:val="Heading2"/>
      </w:pPr>
      <w:r>
        <w:t>4.2 Parcours métier de bout en bout</w:t>
      </w:r>
    </w:p>
    <w:p>
      <w:pPr>
        <w:pStyle w:val="ListNumber"/>
      </w:pPr>
      <w:r>
        <w:t>Identification d’un prospect ou import depuis la base CNPM.</w:t>
      </w:r>
    </w:p>
    <w:p>
      <w:pPr>
        <w:pStyle w:val="ListNumber"/>
      </w:pPr>
      <w:r>
        <w:t>Pré-enrôlement et collecte des informations légales et contacts.</w:t>
      </w:r>
    </w:p>
    <w:p>
      <w:pPr>
        <w:pStyle w:val="ListNumber"/>
      </w:pPr>
      <w:r>
        <w:t>Contrôle KYC, dédoublonnage et validation institutionnelle.</w:t>
      </w:r>
    </w:p>
    <w:p>
      <w:pPr>
        <w:pStyle w:val="ListNumber"/>
      </w:pPr>
      <w:r>
        <w:t>Classification du membre, rattachement au groupement et calcul du barème applicable.</w:t>
      </w:r>
    </w:p>
    <w:p>
      <w:pPr>
        <w:pStyle w:val="ListNumber"/>
      </w:pPr>
      <w:r>
        <w:t>Émission de l’appel de cotisation et génération d’une référence unique validée.</w:t>
      </w:r>
    </w:p>
    <w:p>
      <w:pPr>
        <w:pStyle w:val="ListNumber"/>
      </w:pPr>
      <w:r>
        <w:t>Relance multicanale et suivi des interactions/promesses.</w:t>
      </w:r>
    </w:p>
    <w:p>
      <w:pPr>
        <w:pStyle w:val="ListNumber"/>
      </w:pPr>
      <w:r>
        <w:t>Paiement via canal autorisé ou déclaration de virement.</w:t>
      </w:r>
    </w:p>
    <w:p>
      <w:pPr>
        <w:pStyle w:val="ListNumber"/>
      </w:pPr>
      <w:r>
        <w:t>Rapprochement automatique ou manuel sous contrôle.</w:t>
      </w:r>
    </w:p>
    <w:p>
      <w:pPr>
        <w:pStyle w:val="ListNumber"/>
      </w:pPr>
      <w:r>
        <w:t>Confirmation CNPM, émission du reçu officiel signé et notification.</w:t>
      </w:r>
    </w:p>
    <w:p>
      <w:pPr>
        <w:pStyle w:val="ListNumber"/>
      </w:pPr>
      <w:r>
        <w:t>Mise à jour de la situation du membre, calcul des primes et alimentation du décisionnel.</w:t>
      </w:r>
    </w:p>
    <w:p>
      <w:pPr>
        <w:pStyle w:val="Heading2"/>
      </w:pPr>
      <w:r>
        <w:t>4.3 États principaux</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376"/>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Objet</w:t>
            </w:r>
          </w:p>
        </w:tc>
        <w:tc>
          <w:tcPr>
            <w:tcW w:type="dxa" w:w="727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États autorisés</w:t>
            </w:r>
          </w:p>
        </w:tc>
      </w:tr>
      <w:tr>
        <w:tc>
          <w:tcPr>
            <w:tcW w:type="dxa" w:w="2376"/>
            <w:tcMar>
              <w:top w:w="90" w:type="dxa"/>
              <w:start w:w="90" w:type="dxa"/>
              <w:bottom w:w="90" w:type="dxa"/>
              <w:end w:w="90" w:type="dxa"/>
            </w:tcMar>
            <w:vAlign w:val="top"/>
          </w:tcPr>
          <w:p>
            <w:r>
              <w:rPr>
                <w:sz w:val="17"/>
              </w:rPr>
              <w:t>Dossier d’adhésion</w:t>
            </w:r>
          </w:p>
        </w:tc>
        <w:tc>
          <w:tcPr>
            <w:tcW w:type="dxa" w:w="7272"/>
            <w:tcMar>
              <w:top w:w="90" w:type="dxa"/>
              <w:start w:w="90" w:type="dxa"/>
              <w:bottom w:w="90" w:type="dxa"/>
              <w:end w:w="90" w:type="dxa"/>
            </w:tcMar>
            <w:vAlign w:val="top"/>
          </w:tcPr>
          <w:p>
            <w:r>
              <w:rPr>
                <w:sz w:val="17"/>
              </w:rPr>
              <w:t>Brouillon &gt; Soumis &gt; À compléter &gt; En contrôle &gt; Validé &gt; Rejeté &gt; Archivé</w:t>
            </w:r>
          </w:p>
        </w:tc>
      </w:tr>
      <w:tr>
        <w:tc>
          <w:tcPr>
            <w:tcW w:type="dxa" w:w="2376"/>
            <w:tcMar>
              <w:top w:w="90" w:type="dxa"/>
              <w:start w:w="90" w:type="dxa"/>
              <w:bottom w:w="90" w:type="dxa"/>
              <w:end w:w="90" w:type="dxa"/>
            </w:tcMar>
            <w:vAlign w:val="top"/>
          </w:tcPr>
          <w:p>
            <w:r>
              <w:rPr>
                <w:sz w:val="17"/>
              </w:rPr>
              <w:t>Compte membre</w:t>
            </w:r>
          </w:p>
        </w:tc>
        <w:tc>
          <w:tcPr>
            <w:tcW w:type="dxa" w:w="7272"/>
            <w:tcMar>
              <w:top w:w="90" w:type="dxa"/>
              <w:start w:w="90" w:type="dxa"/>
              <w:bottom w:w="90" w:type="dxa"/>
              <w:end w:w="90" w:type="dxa"/>
            </w:tcMar>
            <w:vAlign w:val="top"/>
          </w:tcPr>
          <w:p>
            <w:r>
              <w:rPr>
                <w:sz w:val="17"/>
              </w:rPr>
              <w:t>Prospect &gt; Pré-actif &gt; Actif &gt; En retard &gt; Suspendu &gt; Dormant &gt; Radié</w:t>
            </w:r>
          </w:p>
        </w:tc>
      </w:tr>
      <w:tr>
        <w:tc>
          <w:tcPr>
            <w:tcW w:type="dxa" w:w="2376"/>
            <w:tcMar>
              <w:top w:w="90" w:type="dxa"/>
              <w:start w:w="90" w:type="dxa"/>
              <w:bottom w:w="90" w:type="dxa"/>
              <w:end w:w="90" w:type="dxa"/>
            </w:tcMar>
            <w:vAlign w:val="top"/>
          </w:tcPr>
          <w:p>
            <w:r>
              <w:rPr>
                <w:sz w:val="17"/>
              </w:rPr>
              <w:t>Appel de cotisation</w:t>
            </w:r>
          </w:p>
        </w:tc>
        <w:tc>
          <w:tcPr>
            <w:tcW w:type="dxa" w:w="7272"/>
            <w:tcMar>
              <w:top w:w="90" w:type="dxa"/>
              <w:start w:w="90" w:type="dxa"/>
              <w:bottom w:w="90" w:type="dxa"/>
              <w:end w:w="90" w:type="dxa"/>
            </w:tcMar>
            <w:vAlign w:val="top"/>
          </w:tcPr>
          <w:p>
            <w:r>
              <w:rPr>
                <w:sz w:val="17"/>
              </w:rPr>
              <w:t>Brouillon &gt; À valider &gt; Émis &gt; Partiellement payé &gt; Soldé &gt; Annulé &gt; Contentieux</w:t>
            </w:r>
          </w:p>
        </w:tc>
      </w:tr>
      <w:tr>
        <w:tc>
          <w:tcPr>
            <w:tcW w:type="dxa" w:w="2376"/>
            <w:tcMar>
              <w:top w:w="90" w:type="dxa"/>
              <w:start w:w="90" w:type="dxa"/>
              <w:bottom w:w="90" w:type="dxa"/>
              <w:end w:w="90" w:type="dxa"/>
            </w:tcMar>
            <w:vAlign w:val="top"/>
          </w:tcPr>
          <w:p>
            <w:r>
              <w:rPr>
                <w:sz w:val="17"/>
              </w:rPr>
              <w:t>Paiement</w:t>
            </w:r>
          </w:p>
        </w:tc>
        <w:tc>
          <w:tcPr>
            <w:tcW w:type="dxa" w:w="7272"/>
            <w:tcMar>
              <w:top w:w="90" w:type="dxa"/>
              <w:start w:w="90" w:type="dxa"/>
              <w:bottom w:w="90" w:type="dxa"/>
              <w:end w:w="90" w:type="dxa"/>
            </w:tcMar>
            <w:vAlign w:val="top"/>
          </w:tcPr>
          <w:p>
            <w:r>
              <w:rPr>
                <w:sz w:val="17"/>
              </w:rPr>
              <w:t>Initié &gt; En attente &gt; Reçu &gt; À rapprocher &gt; Rapproché &gt; Confirmé &gt; Rejeté &gt; Remboursé</w:t>
            </w:r>
          </w:p>
        </w:tc>
      </w:tr>
      <w:tr>
        <w:tc>
          <w:tcPr>
            <w:tcW w:type="dxa" w:w="2376"/>
            <w:tcMar>
              <w:top w:w="90" w:type="dxa"/>
              <w:start w:w="90" w:type="dxa"/>
              <w:bottom w:w="90" w:type="dxa"/>
              <w:end w:w="90" w:type="dxa"/>
            </w:tcMar>
            <w:vAlign w:val="top"/>
          </w:tcPr>
          <w:p>
            <w:r>
              <w:rPr>
                <w:sz w:val="17"/>
              </w:rPr>
              <w:t>Reçu</w:t>
            </w:r>
          </w:p>
        </w:tc>
        <w:tc>
          <w:tcPr>
            <w:tcW w:type="dxa" w:w="7272"/>
            <w:tcMar>
              <w:top w:w="90" w:type="dxa"/>
              <w:start w:w="90" w:type="dxa"/>
              <w:bottom w:w="90" w:type="dxa"/>
              <w:end w:w="90" w:type="dxa"/>
            </w:tcMar>
            <w:vAlign w:val="top"/>
          </w:tcPr>
          <w:p>
            <w:r>
              <w:rPr>
                <w:sz w:val="17"/>
              </w:rPr>
              <w:t>Préparé &gt; Validé &gt; Émis &gt; Annulé &gt; Remplacé</w:t>
            </w:r>
          </w:p>
        </w:tc>
      </w:tr>
      <w:tr>
        <w:tc>
          <w:tcPr>
            <w:tcW w:type="dxa" w:w="2376"/>
            <w:tcMar>
              <w:top w:w="90" w:type="dxa"/>
              <w:start w:w="90" w:type="dxa"/>
              <w:bottom w:w="90" w:type="dxa"/>
              <w:end w:w="90" w:type="dxa"/>
            </w:tcMar>
            <w:vAlign w:val="top"/>
          </w:tcPr>
          <w:p>
            <w:r>
              <w:rPr>
                <w:sz w:val="17"/>
              </w:rPr>
              <w:t>Requête</w:t>
            </w:r>
          </w:p>
        </w:tc>
        <w:tc>
          <w:tcPr>
            <w:tcW w:type="dxa" w:w="7272"/>
            <w:tcMar>
              <w:top w:w="90" w:type="dxa"/>
              <w:start w:w="90" w:type="dxa"/>
              <w:bottom w:w="90" w:type="dxa"/>
              <w:end w:w="90" w:type="dxa"/>
            </w:tcMar>
            <w:vAlign w:val="top"/>
          </w:tcPr>
          <w:p>
            <w:r>
              <w:rPr>
                <w:sz w:val="17"/>
              </w:rPr>
              <w:t>Brouillon &gt; Soumise &gt; Qualifiée &gt; Affectée &gt; En traitement &gt; En attente membre &gt; Résolue &gt; Clôturée</w:t>
            </w:r>
          </w:p>
        </w:tc>
      </w:tr>
      <w:tr>
        <w:tc>
          <w:tcPr>
            <w:tcW w:type="dxa" w:w="2376"/>
            <w:tcMar>
              <w:top w:w="90" w:type="dxa"/>
              <w:start w:w="90" w:type="dxa"/>
              <w:bottom w:w="90" w:type="dxa"/>
              <w:end w:w="90" w:type="dxa"/>
            </w:tcMar>
            <w:vAlign w:val="top"/>
          </w:tcPr>
          <w:p>
            <w:r>
              <w:rPr>
                <w:sz w:val="17"/>
              </w:rPr>
              <w:t>Campagne</w:t>
            </w:r>
          </w:p>
        </w:tc>
        <w:tc>
          <w:tcPr>
            <w:tcW w:type="dxa" w:w="7272"/>
            <w:tcMar>
              <w:top w:w="90" w:type="dxa"/>
              <w:start w:w="90" w:type="dxa"/>
              <w:bottom w:w="90" w:type="dxa"/>
              <w:end w:w="90" w:type="dxa"/>
            </w:tcMar>
            <w:vAlign w:val="top"/>
          </w:tcPr>
          <w:p>
            <w:r>
              <w:rPr>
                <w:sz w:val="17"/>
              </w:rPr>
              <w:t>Brouillon &gt; Planifiée &gt; Active &gt; Suspendue &gt; Terminée &gt; Annulée</w:t>
            </w:r>
          </w:p>
        </w:tc>
      </w:tr>
    </w:tbl>
    <w:p>
      <w:pPr>
        <w:spacing w:after="20"/>
      </w:pPr>
    </w:p>
    <w:p>
      <w:pPr>
        <w:pStyle w:val="Heading1"/>
      </w:pPr>
      <w:r>
        <w:t>5. Référentiels et administration fonctionnelle</w:t>
      </w:r>
    </w:p>
    <w:p>
      <w:pPr>
        <w:spacing w:after="160"/>
      </w:pPr>
      <w:r>
        <w:rPr>
          <w:color w:val="5B6475"/>
          <w:sz w:val="21"/>
        </w:rPr>
        <w:t>Les référentiels doivent être administrables sans intervention du développeur, historisés et protégés par un workflow de publication.</w:t>
      </w:r>
    </w:p>
    <w:p>
      <w:pPr>
        <w:pStyle w:val="Heading2"/>
      </w:pPr>
      <w:r>
        <w:t>5.1 Référentiels obligatoires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448"/>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Référentiel</w:t>
            </w:r>
          </w:p>
        </w:tc>
        <w:tc>
          <w:tcPr>
            <w:tcW w:type="dxa" w:w="720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Contenu minimal</w:t>
            </w:r>
          </w:p>
        </w:tc>
      </w:tr>
      <w:tr>
        <w:tc>
          <w:tcPr>
            <w:tcW w:type="dxa" w:w="2448"/>
            <w:tcMar>
              <w:top w:w="90" w:type="dxa"/>
              <w:start w:w="90" w:type="dxa"/>
              <w:bottom w:w="90" w:type="dxa"/>
              <w:end w:w="90" w:type="dxa"/>
            </w:tcMar>
            <w:vAlign w:val="top"/>
          </w:tcPr>
          <w:p>
            <w:r>
              <w:rPr>
                <w:sz w:val="17"/>
              </w:rPr>
              <w:t>Catégories de membres</w:t>
            </w:r>
          </w:p>
        </w:tc>
        <w:tc>
          <w:tcPr>
            <w:tcW w:type="dxa" w:w="7200"/>
            <w:tcMar>
              <w:top w:w="90" w:type="dxa"/>
              <w:start w:w="90" w:type="dxa"/>
              <w:bottom w:w="90" w:type="dxa"/>
              <w:end w:w="90" w:type="dxa"/>
            </w:tcMar>
            <w:vAlign w:val="top"/>
          </w:tcPr>
          <w:p>
            <w:r>
              <w:rPr>
                <w:sz w:val="17"/>
              </w:rPr>
              <w:t>Actif, dormant, prospect, grand cotisant, intermédiaire, petit cotisant, statuts personnalisés.</w:t>
            </w:r>
          </w:p>
        </w:tc>
      </w:tr>
      <w:tr>
        <w:tc>
          <w:tcPr>
            <w:tcW w:type="dxa" w:w="2448"/>
            <w:tcMar>
              <w:top w:w="90" w:type="dxa"/>
              <w:start w:w="90" w:type="dxa"/>
              <w:bottom w:w="90" w:type="dxa"/>
              <w:end w:w="90" w:type="dxa"/>
            </w:tcMar>
            <w:vAlign w:val="top"/>
          </w:tcPr>
          <w:p>
            <w:r>
              <w:rPr>
                <w:sz w:val="17"/>
              </w:rPr>
              <w:t>Groupements professionnels</w:t>
            </w:r>
          </w:p>
        </w:tc>
        <w:tc>
          <w:tcPr>
            <w:tcW w:type="dxa" w:w="7200"/>
            <w:tcMar>
              <w:top w:w="90" w:type="dxa"/>
              <w:start w:w="90" w:type="dxa"/>
              <w:bottom w:w="90" w:type="dxa"/>
              <w:end w:w="90" w:type="dxa"/>
            </w:tcMar>
            <w:vAlign w:val="top"/>
          </w:tcPr>
          <w:p>
            <w:r>
              <w:rPr>
                <w:sz w:val="17"/>
              </w:rPr>
              <w:t>Code, secteur, responsables, zone, objectifs, portefeuille, statut.</w:t>
            </w:r>
          </w:p>
        </w:tc>
      </w:tr>
      <w:tr>
        <w:tc>
          <w:tcPr>
            <w:tcW w:type="dxa" w:w="2448"/>
            <w:tcMar>
              <w:top w:w="90" w:type="dxa"/>
              <w:start w:w="90" w:type="dxa"/>
              <w:bottom w:w="90" w:type="dxa"/>
              <w:end w:w="90" w:type="dxa"/>
            </w:tcMar>
            <w:vAlign w:val="top"/>
          </w:tcPr>
          <w:p>
            <w:r>
              <w:rPr>
                <w:sz w:val="17"/>
              </w:rPr>
              <w:t>Secteurs et sous-secteurs</w:t>
            </w:r>
          </w:p>
        </w:tc>
        <w:tc>
          <w:tcPr>
            <w:tcW w:type="dxa" w:w="7200"/>
            <w:tcMar>
              <w:top w:w="90" w:type="dxa"/>
              <w:start w:w="90" w:type="dxa"/>
              <w:bottom w:w="90" w:type="dxa"/>
              <w:end w:w="90" w:type="dxa"/>
            </w:tcMar>
            <w:vAlign w:val="top"/>
          </w:tcPr>
          <w:p>
            <w:r>
              <w:rPr>
                <w:sz w:val="17"/>
              </w:rPr>
              <w:t>Classification nationale, activités, mots-clés, correspondances INPS futures.</w:t>
            </w:r>
          </w:p>
        </w:tc>
      </w:tr>
      <w:tr>
        <w:tc>
          <w:tcPr>
            <w:tcW w:type="dxa" w:w="2448"/>
            <w:tcMar>
              <w:top w:w="90" w:type="dxa"/>
              <w:start w:w="90" w:type="dxa"/>
              <w:bottom w:w="90" w:type="dxa"/>
              <w:end w:w="90" w:type="dxa"/>
            </w:tcMar>
            <w:vAlign w:val="top"/>
          </w:tcPr>
          <w:p>
            <w:r>
              <w:rPr>
                <w:sz w:val="17"/>
              </w:rPr>
              <w:t>Barèmes de cotisation</w:t>
            </w:r>
          </w:p>
        </w:tc>
        <w:tc>
          <w:tcPr>
            <w:tcW w:type="dxa" w:w="7200"/>
            <w:tcMar>
              <w:top w:w="90" w:type="dxa"/>
              <w:start w:w="90" w:type="dxa"/>
              <w:bottom w:w="90" w:type="dxa"/>
              <w:end w:w="90" w:type="dxa"/>
            </w:tcMar>
            <w:vAlign w:val="top"/>
          </w:tcPr>
          <w:p>
            <w:r>
              <w:rPr>
                <w:sz w:val="17"/>
              </w:rPr>
              <w:t>Période, catégorie, base de calcul, montant, taux, minimum, maximum, exemptions.</w:t>
            </w:r>
          </w:p>
        </w:tc>
      </w:tr>
      <w:tr>
        <w:tc>
          <w:tcPr>
            <w:tcW w:type="dxa" w:w="2448"/>
            <w:tcMar>
              <w:top w:w="90" w:type="dxa"/>
              <w:start w:w="90" w:type="dxa"/>
              <w:bottom w:w="90" w:type="dxa"/>
              <w:end w:w="90" w:type="dxa"/>
            </w:tcMar>
            <w:vAlign w:val="top"/>
          </w:tcPr>
          <w:p>
            <w:r>
              <w:rPr>
                <w:sz w:val="17"/>
              </w:rPr>
              <w:t>Canaux de paiement</w:t>
            </w:r>
          </w:p>
        </w:tc>
        <w:tc>
          <w:tcPr>
            <w:tcW w:type="dxa" w:w="7200"/>
            <w:tcMar>
              <w:top w:w="90" w:type="dxa"/>
              <w:start w:w="90" w:type="dxa"/>
              <w:bottom w:w="90" w:type="dxa"/>
              <w:end w:w="90" w:type="dxa"/>
            </w:tcMar>
            <w:vAlign w:val="top"/>
          </w:tcPr>
          <w:p>
            <w:r>
              <w:rPr>
                <w:sz w:val="17"/>
              </w:rPr>
              <w:t>Banque, Mobile Money, virement, chèque, espèces autorisées, règles et plafonds.</w:t>
            </w:r>
          </w:p>
        </w:tc>
      </w:tr>
      <w:tr>
        <w:tc>
          <w:tcPr>
            <w:tcW w:type="dxa" w:w="2448"/>
            <w:tcMar>
              <w:top w:w="90" w:type="dxa"/>
              <w:start w:w="90" w:type="dxa"/>
              <w:bottom w:w="90" w:type="dxa"/>
              <w:end w:w="90" w:type="dxa"/>
            </w:tcMar>
            <w:vAlign w:val="top"/>
          </w:tcPr>
          <w:p>
            <w:r>
              <w:rPr>
                <w:sz w:val="17"/>
              </w:rPr>
              <w:t>Motifs et typologies</w:t>
            </w:r>
          </w:p>
        </w:tc>
        <w:tc>
          <w:tcPr>
            <w:tcW w:type="dxa" w:w="7200"/>
            <w:tcMar>
              <w:top w:w="90" w:type="dxa"/>
              <w:start w:w="90" w:type="dxa"/>
              <w:bottom w:w="90" w:type="dxa"/>
              <w:end w:w="90" w:type="dxa"/>
            </w:tcMar>
            <w:vAlign w:val="top"/>
          </w:tcPr>
          <w:p>
            <w:r>
              <w:rPr>
                <w:sz w:val="17"/>
              </w:rPr>
              <w:t>Rejet, suspension, annulation, régularisation, réclamation, risque, relance.</w:t>
            </w:r>
          </w:p>
        </w:tc>
      </w:tr>
      <w:tr>
        <w:tc>
          <w:tcPr>
            <w:tcW w:type="dxa" w:w="2448"/>
            <w:tcMar>
              <w:top w:w="90" w:type="dxa"/>
              <w:start w:w="90" w:type="dxa"/>
              <w:bottom w:w="90" w:type="dxa"/>
              <w:end w:w="90" w:type="dxa"/>
            </w:tcMar>
            <w:vAlign w:val="top"/>
          </w:tcPr>
          <w:p>
            <w:r>
              <w:rPr>
                <w:sz w:val="17"/>
              </w:rPr>
              <w:t>Modèles documentaires</w:t>
            </w:r>
          </w:p>
        </w:tc>
        <w:tc>
          <w:tcPr>
            <w:tcW w:type="dxa" w:w="7200"/>
            <w:tcMar>
              <w:top w:w="90" w:type="dxa"/>
              <w:start w:w="90" w:type="dxa"/>
              <w:bottom w:w="90" w:type="dxa"/>
              <w:end w:w="90" w:type="dxa"/>
            </w:tcMar>
            <w:vAlign w:val="top"/>
          </w:tcPr>
          <w:p>
            <w:r>
              <w:rPr>
                <w:sz w:val="17"/>
              </w:rPr>
              <w:t>Reçu, attestation, appel, mise en demeure, lettre, e-mail, SMS, notification.</w:t>
            </w:r>
          </w:p>
        </w:tc>
      </w:tr>
      <w:tr>
        <w:tc>
          <w:tcPr>
            <w:tcW w:type="dxa" w:w="2448"/>
            <w:tcMar>
              <w:top w:w="90" w:type="dxa"/>
              <w:start w:w="90" w:type="dxa"/>
              <w:bottom w:w="90" w:type="dxa"/>
              <w:end w:w="90" w:type="dxa"/>
            </w:tcMar>
            <w:vAlign w:val="top"/>
          </w:tcPr>
          <w:p>
            <w:r>
              <w:rPr>
                <w:sz w:val="17"/>
              </w:rPr>
              <w:t>Calendriers</w:t>
            </w:r>
          </w:p>
        </w:tc>
        <w:tc>
          <w:tcPr>
            <w:tcW w:type="dxa" w:w="7200"/>
            <w:tcMar>
              <w:top w:w="90" w:type="dxa"/>
              <w:start w:w="90" w:type="dxa"/>
              <w:bottom w:w="90" w:type="dxa"/>
              <w:end w:w="90" w:type="dxa"/>
            </w:tcMar>
            <w:vAlign w:val="top"/>
          </w:tcPr>
          <w:p>
            <w:r>
              <w:rPr>
                <w:sz w:val="17"/>
              </w:rPr>
              <w:t>Exercices, échéances, périodes de grâce, jours non ouvrés, campagnes.</w:t>
            </w:r>
          </w:p>
        </w:tc>
      </w:tr>
      <w:tr>
        <w:tc>
          <w:tcPr>
            <w:tcW w:type="dxa" w:w="2448"/>
            <w:tcMar>
              <w:top w:w="90" w:type="dxa"/>
              <w:start w:w="90" w:type="dxa"/>
              <w:bottom w:w="90" w:type="dxa"/>
              <w:end w:w="90" w:type="dxa"/>
            </w:tcMar>
            <w:vAlign w:val="top"/>
          </w:tcPr>
          <w:p>
            <w:r>
              <w:rPr>
                <w:sz w:val="17"/>
              </w:rPr>
              <w:t>Localisation</w:t>
            </w:r>
          </w:p>
        </w:tc>
        <w:tc>
          <w:tcPr>
            <w:tcW w:type="dxa" w:w="7200"/>
            <w:tcMar>
              <w:top w:w="90" w:type="dxa"/>
              <w:start w:w="90" w:type="dxa"/>
              <w:bottom w:w="90" w:type="dxa"/>
              <w:end w:w="90" w:type="dxa"/>
            </w:tcMar>
            <w:vAlign w:val="top"/>
          </w:tcPr>
          <w:p>
            <w:r>
              <w:rPr>
                <w:sz w:val="17"/>
              </w:rPr>
              <w:t>Régions, cercles, communes, zones économiques, adresses normalisées.</w:t>
            </w:r>
          </w:p>
        </w:tc>
      </w:tr>
      <w:tr>
        <w:tc>
          <w:tcPr>
            <w:tcW w:type="dxa" w:w="2448"/>
            <w:tcMar>
              <w:top w:w="90" w:type="dxa"/>
              <w:start w:w="90" w:type="dxa"/>
              <w:bottom w:w="90" w:type="dxa"/>
              <w:end w:w="90" w:type="dxa"/>
            </w:tcMar>
            <w:vAlign w:val="top"/>
          </w:tcPr>
          <w:p>
            <w:r>
              <w:rPr>
                <w:sz w:val="17"/>
              </w:rPr>
              <w:t>Services CNPM</w:t>
            </w:r>
          </w:p>
        </w:tc>
        <w:tc>
          <w:tcPr>
            <w:tcW w:type="dxa" w:w="7200"/>
            <w:tcMar>
              <w:top w:w="90" w:type="dxa"/>
              <w:start w:w="90" w:type="dxa"/>
              <w:bottom w:w="90" w:type="dxa"/>
              <w:end w:w="90" w:type="dxa"/>
            </w:tcMar>
            <w:vAlign w:val="top"/>
          </w:tcPr>
          <w:p>
            <w:r>
              <w:rPr>
                <w:sz w:val="17"/>
              </w:rPr>
              <w:t>Description, éligibilité, pièces, délais, tarifs éventuels, workflow.</w:t>
            </w:r>
          </w:p>
        </w:tc>
      </w:tr>
    </w:tbl>
    <w:p>
      <w:pPr>
        <w:spacing w:after="20"/>
      </w:pPr>
    </w:p>
    <w:p>
      <w:pPr>
        <w:pStyle w:val="Heading2"/>
      </w:pPr>
      <w:r>
        <w:t>5.2 Exigences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ADM-001</w:t>
            </w:r>
          </w:p>
        </w:tc>
        <w:tc>
          <w:tcPr>
            <w:tcW w:type="dxa" w:w="4680"/>
            <w:tcMar>
              <w:top w:w="90" w:type="dxa"/>
              <w:start w:w="90" w:type="dxa"/>
              <w:bottom w:w="90" w:type="dxa"/>
              <w:end w:w="90" w:type="dxa"/>
            </w:tcMar>
            <w:vAlign w:val="top"/>
          </w:tcPr>
          <w:p>
            <w:r>
              <w:rPr>
                <w:sz w:val="16"/>
              </w:rPr>
              <w:t>Créer, modifier, désactiver et historiser chaque valeur de référentiel.</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Toute modification conserve auteur, date, ancienne et nouvelle valeur.</w:t>
            </w:r>
          </w:p>
        </w:tc>
      </w:tr>
      <w:tr>
        <w:tc>
          <w:tcPr>
            <w:tcW w:type="dxa" w:w="1037"/>
            <w:tcMar>
              <w:top w:w="90" w:type="dxa"/>
              <w:start w:w="90" w:type="dxa"/>
              <w:bottom w:w="90" w:type="dxa"/>
              <w:end w:w="90" w:type="dxa"/>
            </w:tcMar>
            <w:vAlign w:val="top"/>
          </w:tcPr>
          <w:p>
            <w:r>
              <w:rPr>
                <w:sz w:val="16"/>
              </w:rPr>
              <w:t>ADM-002</w:t>
            </w:r>
          </w:p>
        </w:tc>
        <w:tc>
          <w:tcPr>
            <w:tcW w:type="dxa" w:w="4680"/>
            <w:tcMar>
              <w:top w:w="90" w:type="dxa"/>
              <w:start w:w="90" w:type="dxa"/>
              <w:bottom w:w="90" w:type="dxa"/>
              <w:end w:w="90" w:type="dxa"/>
            </w:tcMar>
            <w:vAlign w:val="top"/>
          </w:tcPr>
          <w:p>
            <w:r>
              <w:rPr>
                <w:sz w:val="16"/>
              </w:rPr>
              <w:t>Soumettre les changements sensibles à validation à quatre yeux.</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Aucune règle financière publiée sans second valideur.</w:t>
            </w:r>
          </w:p>
        </w:tc>
      </w:tr>
      <w:tr>
        <w:tc>
          <w:tcPr>
            <w:tcW w:type="dxa" w:w="1037"/>
            <w:tcMar>
              <w:top w:w="90" w:type="dxa"/>
              <w:start w:w="90" w:type="dxa"/>
              <w:bottom w:w="90" w:type="dxa"/>
              <w:end w:w="90" w:type="dxa"/>
            </w:tcMar>
            <w:vAlign w:val="top"/>
          </w:tcPr>
          <w:p>
            <w:r>
              <w:rPr>
                <w:sz w:val="16"/>
              </w:rPr>
              <w:t>ADM-003</w:t>
            </w:r>
          </w:p>
        </w:tc>
        <w:tc>
          <w:tcPr>
            <w:tcW w:type="dxa" w:w="4680"/>
            <w:tcMar>
              <w:top w:w="90" w:type="dxa"/>
              <w:start w:w="90" w:type="dxa"/>
              <w:bottom w:w="90" w:type="dxa"/>
              <w:end w:w="90" w:type="dxa"/>
            </w:tcMar>
            <w:vAlign w:val="top"/>
          </w:tcPr>
          <w:p>
            <w:r>
              <w:rPr>
                <w:sz w:val="16"/>
              </w:rPr>
              <w:t>Importer/exporter les référentiels en Excel avec contrôle de format.</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Rapport d’erreurs ligne par ligne disponible.</w:t>
            </w:r>
          </w:p>
        </w:tc>
      </w:tr>
      <w:tr>
        <w:tc>
          <w:tcPr>
            <w:tcW w:type="dxa" w:w="1037"/>
            <w:tcMar>
              <w:top w:w="90" w:type="dxa"/>
              <w:start w:w="90" w:type="dxa"/>
              <w:bottom w:w="90" w:type="dxa"/>
              <w:end w:w="90" w:type="dxa"/>
            </w:tcMar>
            <w:vAlign w:val="top"/>
          </w:tcPr>
          <w:p>
            <w:r>
              <w:rPr>
                <w:sz w:val="16"/>
              </w:rPr>
              <w:t>ADM-004</w:t>
            </w:r>
          </w:p>
        </w:tc>
        <w:tc>
          <w:tcPr>
            <w:tcW w:type="dxa" w:w="4680"/>
            <w:tcMar>
              <w:top w:w="90" w:type="dxa"/>
              <w:start w:w="90" w:type="dxa"/>
              <w:bottom w:w="90" w:type="dxa"/>
              <w:end w:w="90" w:type="dxa"/>
            </w:tcMar>
            <w:vAlign w:val="top"/>
          </w:tcPr>
          <w:p>
            <w:r>
              <w:rPr>
                <w:sz w:val="16"/>
              </w:rPr>
              <w:t>Versionner les barèmes et empêcher les modifications rétroactives non autorisées.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Une version publiée est immutable; une correction crée une nouvelle version.</w:t>
            </w:r>
          </w:p>
        </w:tc>
      </w:tr>
      <w:tr>
        <w:tc>
          <w:tcPr>
            <w:tcW w:type="dxa" w:w="1037"/>
            <w:tcMar>
              <w:top w:w="90" w:type="dxa"/>
              <w:start w:w="90" w:type="dxa"/>
              <w:bottom w:w="90" w:type="dxa"/>
              <w:end w:w="90" w:type="dxa"/>
            </w:tcMar>
            <w:vAlign w:val="top"/>
          </w:tcPr>
          <w:p>
            <w:r>
              <w:rPr>
                <w:sz w:val="16"/>
              </w:rPr>
              <w:t>ADM-005</w:t>
            </w:r>
          </w:p>
        </w:tc>
        <w:tc>
          <w:tcPr>
            <w:tcW w:type="dxa" w:w="4680"/>
            <w:tcMar>
              <w:top w:w="90" w:type="dxa"/>
              <w:start w:w="90" w:type="dxa"/>
              <w:bottom w:w="90" w:type="dxa"/>
              <w:end w:w="90" w:type="dxa"/>
            </w:tcMar>
            <w:vAlign w:val="top"/>
          </w:tcPr>
          <w:p>
            <w:r>
              <w:rPr>
                <w:sz w:val="16"/>
              </w:rPr>
              <w:t>Simuler l’impact d’un nouveau barème avant publication.</w:t>
            </w:r>
          </w:p>
        </w:tc>
        <w:tc>
          <w:tcPr>
            <w:tcW w:type="dxa" w:w="893"/>
            <w:tcMar>
              <w:top w:w="90" w:type="dxa"/>
              <w:start w:w="90" w:type="dxa"/>
              <w:bottom w:w="90" w:type="dxa"/>
              <w:end w:w="90" w:type="dxa"/>
            </w:tcMar>
            <w:vAlign w:val="top"/>
          </w:tcPr>
          <w:p>
            <w:r>
              <w:rPr>
                <w:sz w:val="16"/>
              </w:rPr>
              <w:t>Could</w:t>
            </w:r>
          </w:p>
        </w:tc>
        <w:tc>
          <w:tcPr>
            <w:tcW w:type="dxa" w:w="2952"/>
            <w:tcMar>
              <w:top w:w="90" w:type="dxa"/>
              <w:start w:w="90" w:type="dxa"/>
              <w:bottom w:w="90" w:type="dxa"/>
              <w:end w:w="90" w:type="dxa"/>
            </w:tcMar>
            <w:vAlign w:val="top"/>
          </w:tcPr>
          <w:p>
            <w:r>
              <w:rPr>
                <w:sz w:val="16"/>
              </w:rPr>
              <w:t>Le système calcule le montant projeté sur la base active.</w:t>
            </w:r>
          </w:p>
        </w:tc>
      </w:tr>
    </w:tbl>
    <w:p>
      <w:pPr>
        <w:spacing w:after="20"/>
      </w:pPr>
    </w:p>
    <w:p>
      <w:pPr>
        <w:pStyle w:val="Heading1"/>
      </w:pPr>
      <w:r>
        <w:t>6. Gestion des membres et entreprises</w:t>
      </w:r>
    </w:p>
    <w:p>
      <w:pPr>
        <w:pStyle w:val="Heading2"/>
      </w:pPr>
      <w:r>
        <w:t>6.1 Dossier membre 360°</w:t>
      </w:r>
    </w:p>
    <w:p>
      <w:r>
        <w:t>Chaque entreprise dispose d’un identifiant CNPM unique et d’une fiche consolidée présentant ses données légales, contacts, établissements, groupements, adhésion, cotisations, paiements, reçus, services, requêtes, événements, interactions et risques.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088"/>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Onglet</w:t>
            </w:r>
          </w:p>
        </w:tc>
        <w:tc>
          <w:tcPr>
            <w:tcW w:type="dxa" w:w="756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Informations</w:t>
            </w:r>
          </w:p>
        </w:tc>
      </w:tr>
      <w:tr>
        <w:tc>
          <w:tcPr>
            <w:tcW w:type="dxa" w:w="2088"/>
            <w:tcMar>
              <w:top w:w="90" w:type="dxa"/>
              <w:start w:w="90" w:type="dxa"/>
              <w:bottom w:w="90" w:type="dxa"/>
              <w:end w:w="90" w:type="dxa"/>
            </w:tcMar>
            <w:vAlign w:val="top"/>
          </w:tcPr>
          <w:p>
            <w:r>
              <w:rPr>
                <w:sz w:val="17"/>
              </w:rPr>
              <w:t>Identité</w:t>
            </w:r>
          </w:p>
        </w:tc>
        <w:tc>
          <w:tcPr>
            <w:tcW w:type="dxa" w:w="7560"/>
            <w:tcMar>
              <w:top w:w="90" w:type="dxa"/>
              <w:start w:w="90" w:type="dxa"/>
              <w:bottom w:w="90" w:type="dxa"/>
              <w:end w:w="90" w:type="dxa"/>
            </w:tcMar>
            <w:vAlign w:val="top"/>
          </w:tcPr>
          <w:p>
            <w:r>
              <w:rPr>
                <w:sz w:val="17"/>
              </w:rPr>
              <w:t>Raison sociale, sigle, forme juridique, RCCM, NIF, date de création, capital, statut.</w:t>
            </w:r>
          </w:p>
        </w:tc>
      </w:tr>
      <w:tr>
        <w:tc>
          <w:tcPr>
            <w:tcW w:type="dxa" w:w="2088"/>
            <w:tcMar>
              <w:top w:w="90" w:type="dxa"/>
              <w:start w:w="90" w:type="dxa"/>
              <w:bottom w:w="90" w:type="dxa"/>
              <w:end w:w="90" w:type="dxa"/>
            </w:tcMar>
            <w:vAlign w:val="top"/>
          </w:tcPr>
          <w:p>
            <w:r>
              <w:rPr>
                <w:sz w:val="17"/>
              </w:rPr>
              <w:t>Activités</w:t>
            </w:r>
          </w:p>
        </w:tc>
        <w:tc>
          <w:tcPr>
            <w:tcW w:type="dxa" w:w="7560"/>
            <w:tcMar>
              <w:top w:w="90" w:type="dxa"/>
              <w:start w:w="90" w:type="dxa"/>
              <w:bottom w:w="90" w:type="dxa"/>
              <w:end w:w="90" w:type="dxa"/>
            </w:tcMar>
            <w:vAlign w:val="top"/>
          </w:tcPr>
          <w:p>
            <w:r>
              <w:rPr>
                <w:sz w:val="17"/>
              </w:rPr>
              <w:t>Secteur, sous-secteur, produits/services, taille, effectif, chiffre d’affaires par tranche.</w:t>
            </w:r>
          </w:p>
        </w:tc>
      </w:tr>
      <w:tr>
        <w:tc>
          <w:tcPr>
            <w:tcW w:type="dxa" w:w="2088"/>
            <w:tcMar>
              <w:top w:w="90" w:type="dxa"/>
              <w:start w:w="90" w:type="dxa"/>
              <w:bottom w:w="90" w:type="dxa"/>
              <w:end w:w="90" w:type="dxa"/>
            </w:tcMar>
            <w:vAlign w:val="top"/>
          </w:tcPr>
          <w:p>
            <w:r>
              <w:rPr>
                <w:sz w:val="17"/>
              </w:rPr>
              <w:t>Coordonnées</w:t>
            </w:r>
          </w:p>
        </w:tc>
        <w:tc>
          <w:tcPr>
            <w:tcW w:type="dxa" w:w="7560"/>
            <w:tcMar>
              <w:top w:w="90" w:type="dxa"/>
              <w:start w:w="90" w:type="dxa"/>
              <w:bottom w:w="90" w:type="dxa"/>
              <w:end w:w="90" w:type="dxa"/>
            </w:tcMar>
            <w:vAlign w:val="top"/>
          </w:tcPr>
          <w:p>
            <w:r>
              <w:rPr>
                <w:sz w:val="17"/>
              </w:rPr>
              <w:t>Siège, établissements, e-mails, téléphones, site web, géolocalisation facultative.</w:t>
            </w:r>
          </w:p>
        </w:tc>
      </w:tr>
      <w:tr>
        <w:tc>
          <w:tcPr>
            <w:tcW w:type="dxa" w:w="2088"/>
            <w:tcMar>
              <w:top w:w="90" w:type="dxa"/>
              <w:start w:w="90" w:type="dxa"/>
              <w:bottom w:w="90" w:type="dxa"/>
              <w:end w:w="90" w:type="dxa"/>
            </w:tcMar>
            <w:vAlign w:val="top"/>
          </w:tcPr>
          <w:p>
            <w:r>
              <w:rPr>
                <w:sz w:val="17"/>
              </w:rPr>
              <w:t>Dirigeants et contacts</w:t>
            </w:r>
          </w:p>
        </w:tc>
        <w:tc>
          <w:tcPr>
            <w:tcW w:type="dxa" w:w="7560"/>
            <w:tcMar>
              <w:top w:w="90" w:type="dxa"/>
              <w:start w:w="90" w:type="dxa"/>
              <w:bottom w:w="90" w:type="dxa"/>
              <w:end w:w="90" w:type="dxa"/>
            </w:tcMar>
            <w:vAlign w:val="top"/>
          </w:tcPr>
          <w:p>
            <w:r>
              <w:rPr>
                <w:sz w:val="17"/>
              </w:rPr>
              <w:t>Représentant légal, DAF, point focal CNPM, suppléants, préférences de contact.</w:t>
            </w:r>
          </w:p>
        </w:tc>
      </w:tr>
      <w:tr>
        <w:tc>
          <w:tcPr>
            <w:tcW w:type="dxa" w:w="2088"/>
            <w:tcMar>
              <w:top w:w="90" w:type="dxa"/>
              <w:start w:w="90" w:type="dxa"/>
              <w:bottom w:w="90" w:type="dxa"/>
              <w:end w:w="90" w:type="dxa"/>
            </w:tcMar>
            <w:vAlign w:val="top"/>
          </w:tcPr>
          <w:p>
            <w:r>
              <w:rPr>
                <w:sz w:val="17"/>
              </w:rPr>
              <w:t>Adhésion</w:t>
            </w:r>
          </w:p>
        </w:tc>
        <w:tc>
          <w:tcPr>
            <w:tcW w:type="dxa" w:w="7560"/>
            <w:tcMar>
              <w:top w:w="90" w:type="dxa"/>
              <w:start w:w="90" w:type="dxa"/>
              <w:bottom w:w="90" w:type="dxa"/>
              <w:end w:w="90" w:type="dxa"/>
            </w:tcMar>
            <w:vAlign w:val="top"/>
          </w:tcPr>
          <w:p>
            <w:r>
              <w:rPr>
                <w:sz w:val="17"/>
              </w:rPr>
              <w:t>Date, catégorie, groupement, décision, numéro, carte, statut, historique.</w:t>
            </w:r>
          </w:p>
        </w:tc>
      </w:tr>
      <w:tr>
        <w:tc>
          <w:tcPr>
            <w:tcW w:type="dxa" w:w="2088"/>
            <w:tcMar>
              <w:top w:w="90" w:type="dxa"/>
              <w:start w:w="90" w:type="dxa"/>
              <w:bottom w:w="90" w:type="dxa"/>
              <w:end w:w="90" w:type="dxa"/>
            </w:tcMar>
            <w:vAlign w:val="top"/>
          </w:tcPr>
          <w:p>
            <w:r>
              <w:rPr>
                <w:sz w:val="17"/>
              </w:rPr>
              <w:t>Cotisations</w:t>
            </w:r>
          </w:p>
        </w:tc>
        <w:tc>
          <w:tcPr>
            <w:tcW w:type="dxa" w:w="7560"/>
            <w:tcMar>
              <w:top w:w="90" w:type="dxa"/>
              <w:start w:w="90" w:type="dxa"/>
              <w:bottom w:w="90" w:type="dxa"/>
              <w:end w:w="90" w:type="dxa"/>
            </w:tcMar>
            <w:vAlign w:val="top"/>
          </w:tcPr>
          <w:p>
            <w:r>
              <w:rPr>
                <w:sz w:val="17"/>
              </w:rPr>
              <w:t>Appels, échéances, soldes, ancienneté, régularisations, plans de paiement.</w:t>
            </w:r>
          </w:p>
        </w:tc>
      </w:tr>
      <w:tr>
        <w:tc>
          <w:tcPr>
            <w:tcW w:type="dxa" w:w="2088"/>
            <w:tcMar>
              <w:top w:w="90" w:type="dxa"/>
              <w:start w:w="90" w:type="dxa"/>
              <w:bottom w:w="90" w:type="dxa"/>
              <w:end w:w="90" w:type="dxa"/>
            </w:tcMar>
            <w:vAlign w:val="top"/>
          </w:tcPr>
          <w:p>
            <w:r>
              <w:rPr>
                <w:sz w:val="17"/>
              </w:rPr>
              <w:t>Documents</w:t>
            </w:r>
          </w:p>
        </w:tc>
        <w:tc>
          <w:tcPr>
            <w:tcW w:type="dxa" w:w="7560"/>
            <w:tcMar>
              <w:top w:w="90" w:type="dxa"/>
              <w:start w:w="90" w:type="dxa"/>
              <w:bottom w:w="90" w:type="dxa"/>
              <w:end w:w="90" w:type="dxa"/>
            </w:tcMar>
            <w:vAlign w:val="top"/>
          </w:tcPr>
          <w:p>
            <w:r>
              <w:rPr>
                <w:sz w:val="17"/>
              </w:rPr>
              <w:t>RCCM, NIF, statuts, mandat, décisions, attestations, reçus, correspondances.</w:t>
            </w:r>
          </w:p>
        </w:tc>
      </w:tr>
      <w:tr>
        <w:tc>
          <w:tcPr>
            <w:tcW w:type="dxa" w:w="2088"/>
            <w:tcMar>
              <w:top w:w="90" w:type="dxa"/>
              <w:start w:w="90" w:type="dxa"/>
              <w:bottom w:w="90" w:type="dxa"/>
              <w:end w:w="90" w:type="dxa"/>
            </w:tcMar>
            <w:vAlign w:val="top"/>
          </w:tcPr>
          <w:p>
            <w:r>
              <w:rPr>
                <w:sz w:val="17"/>
              </w:rPr>
              <w:t>Relation CNPM</w:t>
            </w:r>
          </w:p>
        </w:tc>
        <w:tc>
          <w:tcPr>
            <w:tcW w:type="dxa" w:w="7560"/>
            <w:tcMar>
              <w:top w:w="90" w:type="dxa"/>
              <w:start w:w="90" w:type="dxa"/>
              <w:bottom w:w="90" w:type="dxa"/>
              <w:end w:w="90" w:type="dxa"/>
            </w:tcMar>
            <w:vAlign w:val="top"/>
          </w:tcPr>
          <w:p>
            <w:r>
              <w:rPr>
                <w:sz w:val="17"/>
              </w:rPr>
              <w:t>Interactions, campagnes, visites, promesses, requêtes, satisfaction.</w:t>
            </w:r>
          </w:p>
        </w:tc>
      </w:tr>
      <w:tr>
        <w:tc>
          <w:tcPr>
            <w:tcW w:type="dxa" w:w="2088"/>
            <w:tcMar>
              <w:top w:w="90" w:type="dxa"/>
              <w:start w:w="90" w:type="dxa"/>
              <w:bottom w:w="90" w:type="dxa"/>
              <w:end w:w="90" w:type="dxa"/>
            </w:tcMar>
            <w:vAlign w:val="top"/>
          </w:tcPr>
          <w:p>
            <w:r>
              <w:rPr>
                <w:sz w:val="17"/>
              </w:rPr>
              <w:t>Gouvernance</w:t>
            </w:r>
          </w:p>
        </w:tc>
        <w:tc>
          <w:tcPr>
            <w:tcW w:type="dxa" w:w="7560"/>
            <w:tcMar>
              <w:top w:w="90" w:type="dxa"/>
              <w:start w:w="90" w:type="dxa"/>
              <w:bottom w:w="90" w:type="dxa"/>
              <w:end w:w="90" w:type="dxa"/>
            </w:tcMar>
            <w:vAlign w:val="top"/>
          </w:tcPr>
          <w:p>
            <w:r>
              <w:rPr>
                <w:sz w:val="17"/>
              </w:rPr>
              <w:t>Mandats, commissions, représentants, réunions, votes autorisés.</w:t>
            </w:r>
          </w:p>
        </w:tc>
      </w:tr>
      <w:tr>
        <w:tc>
          <w:tcPr>
            <w:tcW w:type="dxa" w:w="2088"/>
            <w:tcMar>
              <w:top w:w="90" w:type="dxa"/>
              <w:start w:w="90" w:type="dxa"/>
              <w:bottom w:w="90" w:type="dxa"/>
              <w:end w:w="90" w:type="dxa"/>
            </w:tcMar>
            <w:vAlign w:val="top"/>
          </w:tcPr>
          <w:p>
            <w:r>
              <w:rPr>
                <w:sz w:val="17"/>
              </w:rPr>
              <w:t>Risque</w:t>
            </w:r>
          </w:p>
        </w:tc>
        <w:tc>
          <w:tcPr>
            <w:tcW w:type="dxa" w:w="7560"/>
            <w:tcMar>
              <w:top w:w="90" w:type="dxa"/>
              <w:start w:w="90" w:type="dxa"/>
              <w:bottom w:w="90" w:type="dxa"/>
              <w:end w:w="90" w:type="dxa"/>
            </w:tcMar>
            <w:vAlign w:val="top"/>
          </w:tcPr>
          <w:p>
            <w:r>
              <w:rPr>
                <w:sz w:val="17"/>
              </w:rPr>
              <w:t>Score de recouvrement, anomalies, litiges, alertes et actions recommandées.</w:t>
            </w:r>
          </w:p>
        </w:tc>
      </w:tr>
    </w:tbl>
    <w:p>
      <w:pPr>
        <w:spacing w:after="20"/>
      </w:pPr>
    </w:p>
    <w:p>
      <w:pPr>
        <w:pStyle w:val="Heading2"/>
      </w:pPr>
      <w:r>
        <w:t>6.2 Exigences fonctionnelles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MEM-001</w:t>
            </w:r>
          </w:p>
        </w:tc>
        <w:tc>
          <w:tcPr>
            <w:tcW w:type="dxa" w:w="4680"/>
            <w:tcMar>
              <w:top w:w="90" w:type="dxa"/>
              <w:start w:w="90" w:type="dxa"/>
              <w:bottom w:w="90" w:type="dxa"/>
              <w:end w:w="90" w:type="dxa"/>
            </w:tcMar>
            <w:vAlign w:val="top"/>
          </w:tcPr>
          <w:p>
            <w:r>
              <w:rPr>
                <w:sz w:val="16"/>
              </w:rPr>
              <w:t>Attribuer un identifiant CNPM unique non réutilisable.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Deux comptes ne peuvent partager le même identifiant.</w:t>
            </w:r>
          </w:p>
        </w:tc>
      </w:tr>
      <w:tr>
        <w:tc>
          <w:tcPr>
            <w:tcW w:type="dxa" w:w="1037"/>
            <w:tcMar>
              <w:top w:w="90" w:type="dxa"/>
              <w:start w:w="90" w:type="dxa"/>
              <w:bottom w:w="90" w:type="dxa"/>
              <w:end w:w="90" w:type="dxa"/>
            </w:tcMar>
            <w:vAlign w:val="top"/>
          </w:tcPr>
          <w:p>
            <w:r>
              <w:rPr>
                <w:sz w:val="16"/>
              </w:rPr>
              <w:t>MEM-002</w:t>
            </w:r>
          </w:p>
        </w:tc>
        <w:tc>
          <w:tcPr>
            <w:tcW w:type="dxa" w:w="4680"/>
            <w:tcMar>
              <w:top w:w="90" w:type="dxa"/>
              <w:start w:w="90" w:type="dxa"/>
              <w:bottom w:w="90" w:type="dxa"/>
              <w:end w:w="90" w:type="dxa"/>
            </w:tcMar>
            <w:vAlign w:val="top"/>
          </w:tcPr>
          <w:p>
            <w:r>
              <w:rPr>
                <w:sz w:val="16"/>
              </w:rPr>
              <w:t>Détecter les doublons par NIF, RCCM, raison sociale, téléphone et e-mail.</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système bloque ou soumet à arbitrage selon le score de similarité.</w:t>
            </w:r>
          </w:p>
        </w:tc>
      </w:tr>
      <w:tr>
        <w:tc>
          <w:tcPr>
            <w:tcW w:type="dxa" w:w="1037"/>
            <w:tcMar>
              <w:top w:w="90" w:type="dxa"/>
              <w:start w:w="90" w:type="dxa"/>
              <w:bottom w:w="90" w:type="dxa"/>
              <w:end w:w="90" w:type="dxa"/>
            </w:tcMar>
            <w:vAlign w:val="top"/>
          </w:tcPr>
          <w:p>
            <w:r>
              <w:rPr>
                <w:sz w:val="16"/>
              </w:rPr>
              <w:t>MEM-003</w:t>
            </w:r>
          </w:p>
        </w:tc>
        <w:tc>
          <w:tcPr>
            <w:tcW w:type="dxa" w:w="4680"/>
            <w:tcMar>
              <w:top w:w="90" w:type="dxa"/>
              <w:start w:w="90" w:type="dxa"/>
              <w:bottom w:w="90" w:type="dxa"/>
              <w:end w:w="90" w:type="dxa"/>
            </w:tcMar>
            <w:vAlign w:val="top"/>
          </w:tcPr>
          <w:p>
            <w:r>
              <w:rPr>
                <w:sz w:val="16"/>
              </w:rPr>
              <w:t>Gérer plusieurs établissements et plusieurs contacts par entreprise.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Un contact principal et un contact financier sont identifiables.</w:t>
            </w:r>
          </w:p>
        </w:tc>
      </w:tr>
      <w:tr>
        <w:tc>
          <w:tcPr>
            <w:tcW w:type="dxa" w:w="1037"/>
            <w:tcMar>
              <w:top w:w="90" w:type="dxa"/>
              <w:start w:w="90" w:type="dxa"/>
              <w:bottom w:w="90" w:type="dxa"/>
              <w:end w:w="90" w:type="dxa"/>
            </w:tcMar>
            <w:vAlign w:val="top"/>
          </w:tcPr>
          <w:p>
            <w:r>
              <w:rPr>
                <w:sz w:val="16"/>
              </w:rPr>
              <w:t>MEM-004</w:t>
            </w:r>
          </w:p>
        </w:tc>
        <w:tc>
          <w:tcPr>
            <w:tcW w:type="dxa" w:w="4680"/>
            <w:tcMar>
              <w:top w:w="90" w:type="dxa"/>
              <w:start w:w="90" w:type="dxa"/>
              <w:bottom w:w="90" w:type="dxa"/>
              <w:end w:w="90" w:type="dxa"/>
            </w:tcMar>
            <w:vAlign w:val="top"/>
          </w:tcPr>
          <w:p>
            <w:r>
              <w:rPr>
                <w:sz w:val="16"/>
              </w:rPr>
              <w:t>Historiser tout changement de catégorie, groupement, statut ou représentant.</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La timeline restitue la valeur, l’auteur, la date et le motif.</w:t>
            </w:r>
          </w:p>
        </w:tc>
      </w:tr>
      <w:tr>
        <w:tc>
          <w:tcPr>
            <w:tcW w:type="dxa" w:w="1037"/>
            <w:tcMar>
              <w:top w:w="90" w:type="dxa"/>
              <w:start w:w="90" w:type="dxa"/>
              <w:bottom w:w="90" w:type="dxa"/>
              <w:end w:w="90" w:type="dxa"/>
            </w:tcMar>
            <w:vAlign w:val="top"/>
          </w:tcPr>
          <w:p>
            <w:r>
              <w:rPr>
                <w:sz w:val="16"/>
              </w:rPr>
              <w:t>MEM-005</w:t>
            </w:r>
          </w:p>
        </w:tc>
        <w:tc>
          <w:tcPr>
            <w:tcW w:type="dxa" w:w="4680"/>
            <w:tcMar>
              <w:top w:w="90" w:type="dxa"/>
              <w:start w:w="90" w:type="dxa"/>
              <w:bottom w:w="90" w:type="dxa"/>
              <w:end w:w="90" w:type="dxa"/>
            </w:tcMar>
            <w:vAlign w:val="top"/>
          </w:tcPr>
          <w:p>
            <w:r>
              <w:rPr>
                <w:sz w:val="16"/>
              </w:rPr>
              <w:t>Gérer les fusions, changements de raison sociale et successions juridiques.</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Les liens entre entités antérieures et nouvelles restent consultables.</w:t>
            </w:r>
          </w:p>
        </w:tc>
      </w:tr>
      <w:tr>
        <w:tc>
          <w:tcPr>
            <w:tcW w:type="dxa" w:w="1037"/>
            <w:tcMar>
              <w:top w:w="90" w:type="dxa"/>
              <w:start w:w="90" w:type="dxa"/>
              <w:bottom w:w="90" w:type="dxa"/>
              <w:end w:w="90" w:type="dxa"/>
            </w:tcMar>
            <w:vAlign w:val="top"/>
          </w:tcPr>
          <w:p>
            <w:r>
              <w:rPr>
                <w:sz w:val="16"/>
              </w:rPr>
              <w:t>MEM-006</w:t>
            </w:r>
          </w:p>
        </w:tc>
        <w:tc>
          <w:tcPr>
            <w:tcW w:type="dxa" w:w="4680"/>
            <w:tcMar>
              <w:top w:w="90" w:type="dxa"/>
              <w:start w:w="90" w:type="dxa"/>
              <w:bottom w:w="90" w:type="dxa"/>
              <w:end w:w="90" w:type="dxa"/>
            </w:tcMar>
            <w:vAlign w:val="top"/>
          </w:tcPr>
          <w:p>
            <w:r>
              <w:rPr>
                <w:sz w:val="16"/>
              </w:rPr>
              <w:t>Générer une carte membre numérique avec QR sécurisé.</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Le QR ouvre une page de vérification sans exposer de données sensibles.</w:t>
            </w:r>
          </w:p>
        </w:tc>
      </w:tr>
      <w:tr>
        <w:tc>
          <w:tcPr>
            <w:tcW w:type="dxa" w:w="1037"/>
            <w:tcMar>
              <w:top w:w="90" w:type="dxa"/>
              <w:start w:w="90" w:type="dxa"/>
              <w:bottom w:w="90" w:type="dxa"/>
              <w:end w:w="90" w:type="dxa"/>
            </w:tcMar>
            <w:vAlign w:val="top"/>
          </w:tcPr>
          <w:p>
            <w:r>
              <w:rPr>
                <w:sz w:val="16"/>
              </w:rPr>
              <w:t>MEM-007</w:t>
            </w:r>
          </w:p>
        </w:tc>
        <w:tc>
          <w:tcPr>
            <w:tcW w:type="dxa" w:w="4680"/>
            <w:tcMar>
              <w:top w:w="90" w:type="dxa"/>
              <w:start w:w="90" w:type="dxa"/>
              <w:bottom w:w="90" w:type="dxa"/>
              <w:end w:w="90" w:type="dxa"/>
            </w:tcMar>
            <w:vAlign w:val="top"/>
          </w:tcPr>
          <w:p>
            <w:r>
              <w:rPr>
                <w:sz w:val="16"/>
              </w:rPr>
              <w:t>Permettre une vue consolidée groupe de sociétés.</w:t>
            </w:r>
          </w:p>
        </w:tc>
        <w:tc>
          <w:tcPr>
            <w:tcW w:type="dxa" w:w="893"/>
            <w:tcMar>
              <w:top w:w="90" w:type="dxa"/>
              <w:start w:w="90" w:type="dxa"/>
              <w:bottom w:w="90" w:type="dxa"/>
              <w:end w:w="90" w:type="dxa"/>
            </w:tcMar>
            <w:vAlign w:val="top"/>
          </w:tcPr>
          <w:p>
            <w:r>
              <w:rPr>
                <w:sz w:val="16"/>
              </w:rPr>
              <w:t>Could</w:t>
            </w:r>
          </w:p>
        </w:tc>
        <w:tc>
          <w:tcPr>
            <w:tcW w:type="dxa" w:w="2952"/>
            <w:tcMar>
              <w:top w:w="90" w:type="dxa"/>
              <w:start w:w="90" w:type="dxa"/>
              <w:bottom w:w="90" w:type="dxa"/>
              <w:end w:w="90" w:type="dxa"/>
            </w:tcMar>
            <w:vAlign w:val="top"/>
          </w:tcPr>
          <w:p>
            <w:r>
              <w:rPr>
                <w:sz w:val="16"/>
              </w:rPr>
              <w:t>Les soldes et contributions sont agrégés sans fusionner les comptes juridiques.</w:t>
            </w:r>
          </w:p>
        </w:tc>
      </w:tr>
      <w:tr>
        <w:tc>
          <w:tcPr>
            <w:tcW w:type="dxa" w:w="1037"/>
            <w:tcMar>
              <w:top w:w="90" w:type="dxa"/>
              <w:start w:w="90" w:type="dxa"/>
              <w:bottom w:w="90" w:type="dxa"/>
              <w:end w:w="90" w:type="dxa"/>
            </w:tcMar>
            <w:vAlign w:val="top"/>
          </w:tcPr>
          <w:p>
            <w:r>
              <w:rPr>
                <w:sz w:val="16"/>
              </w:rPr>
              <w:t>MEM-008</w:t>
            </w:r>
          </w:p>
        </w:tc>
        <w:tc>
          <w:tcPr>
            <w:tcW w:type="dxa" w:w="4680"/>
            <w:tcMar>
              <w:top w:w="90" w:type="dxa"/>
              <w:start w:w="90" w:type="dxa"/>
              <w:bottom w:w="90" w:type="dxa"/>
              <w:end w:w="90" w:type="dxa"/>
            </w:tcMar>
            <w:vAlign w:val="top"/>
          </w:tcPr>
          <w:p>
            <w:r>
              <w:rPr>
                <w:sz w:val="16"/>
              </w:rPr>
              <w:t>Exporter la fiche membre complète selon les droits.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PDF horodaté et journalisé, données masquées selon le rôle.</w:t>
            </w:r>
          </w:p>
        </w:tc>
      </w:tr>
    </w:tbl>
    <w:p>
      <w:pPr>
        <w:spacing w:after="20"/>
      </w:pPr>
    </w:p>
    <w:p>
      <w:pPr>
        <w:pStyle w:val="Heading2"/>
      </w:pPr>
      <w:r>
        <w:t>6.3 Segmentation intelligente</w:t>
      </w:r>
    </w:p>
    <w:p>
      <w:pPr>
        <w:pStyle w:val="ListBullet"/>
      </w:pPr>
      <w:r>
        <w:t>Segments statiques : catégorie, secteur, groupement, taille, région, ancienneté.</w:t>
      </w:r>
    </w:p>
    <w:p>
      <w:pPr>
        <w:pStyle w:val="ListBullet"/>
      </w:pPr>
      <w:r>
        <w:t>Segments comportementaux : ponctuel, irrégulier, dormant, réactivé, en croissance, à risque.</w:t>
      </w:r>
    </w:p>
    <w:p>
      <w:pPr>
        <w:pStyle w:val="ListBullet"/>
      </w:pPr>
      <w:r>
        <w:t>Segments financiers : grand contributeur, contributeur moyen, faible contribution, potentiel élevé.</w:t>
      </w:r>
    </w:p>
    <w:p>
      <w:pPr>
        <w:pStyle w:val="ListBullet"/>
      </w:pPr>
      <w:r>
        <w:t>Segments relationnels : engagement fort, faible participation, requêtes fréquentes, ambassadeur.</w:t>
      </w:r>
    </w:p>
    <w:p>
      <w:pPr>
        <w:pStyle w:val="ListBullet"/>
      </w:pPr>
      <w:r>
        <w:t>Segments dynamiques utilisables dans les campagnes, rapports et priorités de recouvrement.</w:t>
      </w:r>
    </w:p>
    <w:p>
      <w:pPr>
        <w:pStyle w:val="Heading1"/>
      </w:pPr>
      <w:r>
        <w:t>7. Enrôlement, KYC et validation</w:t>
      </w:r>
    </w:p>
    <w:p>
      <w:pPr>
        <w:pStyle w:val="Heading2"/>
      </w:pPr>
      <w:r>
        <w:t>7.1 Canaux d’enrôlement</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376"/>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Canal</w:t>
            </w:r>
          </w:p>
        </w:tc>
        <w:tc>
          <w:tcPr>
            <w:tcW w:type="dxa" w:w="727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Description</w:t>
            </w:r>
          </w:p>
        </w:tc>
      </w:tr>
      <w:tr>
        <w:tc>
          <w:tcPr>
            <w:tcW w:type="dxa" w:w="2376"/>
            <w:tcMar>
              <w:top w:w="90" w:type="dxa"/>
              <w:start w:w="90" w:type="dxa"/>
              <w:bottom w:w="90" w:type="dxa"/>
              <w:end w:w="90" w:type="dxa"/>
            </w:tcMar>
            <w:vAlign w:val="top"/>
          </w:tcPr>
          <w:p>
            <w:r>
              <w:rPr>
                <w:sz w:val="17"/>
              </w:rPr>
              <w:t>Auto-enrôlement web</w:t>
            </w:r>
          </w:p>
        </w:tc>
        <w:tc>
          <w:tcPr>
            <w:tcW w:type="dxa" w:w="7272"/>
            <w:tcMar>
              <w:top w:w="90" w:type="dxa"/>
              <w:start w:w="90" w:type="dxa"/>
              <w:bottom w:w="90" w:type="dxa"/>
              <w:end w:w="90" w:type="dxa"/>
            </w:tcMar>
            <w:vAlign w:val="top"/>
          </w:tcPr>
          <w:p>
            <w:r>
              <w:rPr>
                <w:sz w:val="17"/>
              </w:rPr>
              <w:t>Formulaire public sécurisé, sauvegarde progressive et suivi du dossier.</w:t>
            </w:r>
          </w:p>
        </w:tc>
      </w:tr>
      <w:tr>
        <w:tc>
          <w:tcPr>
            <w:tcW w:type="dxa" w:w="2376"/>
            <w:tcMar>
              <w:top w:w="90" w:type="dxa"/>
              <w:start w:w="90" w:type="dxa"/>
              <w:bottom w:w="90" w:type="dxa"/>
              <w:end w:w="90" w:type="dxa"/>
            </w:tcMar>
            <w:vAlign w:val="top"/>
          </w:tcPr>
          <w:p>
            <w:r>
              <w:rPr>
                <w:sz w:val="17"/>
              </w:rPr>
              <w:t>Application mobile</w:t>
            </w:r>
          </w:p>
        </w:tc>
        <w:tc>
          <w:tcPr>
            <w:tcW w:type="dxa" w:w="7272"/>
            <w:tcMar>
              <w:top w:w="90" w:type="dxa"/>
              <w:start w:w="90" w:type="dxa"/>
              <w:bottom w:w="90" w:type="dxa"/>
              <w:end w:w="90" w:type="dxa"/>
            </w:tcMar>
            <w:vAlign w:val="top"/>
          </w:tcPr>
          <w:p>
            <w:r>
              <w:rPr>
                <w:sz w:val="17"/>
              </w:rPr>
              <w:t>Parcours simplifié, capture de documents, vérification OTP, notifications push.</w:t>
            </w:r>
          </w:p>
        </w:tc>
      </w:tr>
      <w:tr>
        <w:tc>
          <w:tcPr>
            <w:tcW w:type="dxa" w:w="2376"/>
            <w:tcMar>
              <w:top w:w="90" w:type="dxa"/>
              <w:start w:w="90" w:type="dxa"/>
              <w:bottom w:w="90" w:type="dxa"/>
              <w:end w:w="90" w:type="dxa"/>
            </w:tcMar>
            <w:vAlign w:val="top"/>
          </w:tcPr>
          <w:p>
            <w:r>
              <w:rPr>
                <w:sz w:val="17"/>
              </w:rPr>
              <w:t>Enrôlement assisté</w:t>
            </w:r>
          </w:p>
        </w:tc>
        <w:tc>
          <w:tcPr>
            <w:tcW w:type="dxa" w:w="7272"/>
            <w:tcMar>
              <w:top w:w="90" w:type="dxa"/>
              <w:start w:w="90" w:type="dxa"/>
              <w:bottom w:w="90" w:type="dxa"/>
              <w:end w:w="90" w:type="dxa"/>
            </w:tcMar>
            <w:vAlign w:val="top"/>
          </w:tcPr>
          <w:p>
            <w:r>
              <w:rPr>
                <w:sz w:val="17"/>
              </w:rPr>
              <w:t>Agent CNPM ou groupement accompagne l’entreprise avec traçabilité du consentement.</w:t>
            </w:r>
          </w:p>
        </w:tc>
      </w:tr>
      <w:tr>
        <w:tc>
          <w:tcPr>
            <w:tcW w:type="dxa" w:w="2376"/>
            <w:tcMar>
              <w:top w:w="90" w:type="dxa"/>
              <w:start w:w="90" w:type="dxa"/>
              <w:bottom w:w="90" w:type="dxa"/>
              <w:end w:w="90" w:type="dxa"/>
            </w:tcMar>
            <w:vAlign w:val="top"/>
          </w:tcPr>
          <w:p>
            <w:r>
              <w:rPr>
                <w:sz w:val="17"/>
              </w:rPr>
              <w:t>Import de masse</w:t>
            </w:r>
          </w:p>
        </w:tc>
        <w:tc>
          <w:tcPr>
            <w:tcW w:type="dxa" w:w="7272"/>
            <w:tcMar>
              <w:top w:w="90" w:type="dxa"/>
              <w:start w:w="90" w:type="dxa"/>
              <w:bottom w:w="90" w:type="dxa"/>
              <w:end w:w="90" w:type="dxa"/>
            </w:tcMar>
            <w:vAlign w:val="top"/>
          </w:tcPr>
          <w:p>
            <w:r>
              <w:rPr>
                <w:sz w:val="17"/>
              </w:rPr>
              <w:t>Chargement de la base de 1 000 à 1 200 prospects avec contrôles et dédoublonnage.</w:t>
            </w:r>
          </w:p>
        </w:tc>
      </w:tr>
      <w:tr>
        <w:tc>
          <w:tcPr>
            <w:tcW w:type="dxa" w:w="2376"/>
            <w:tcMar>
              <w:top w:w="90" w:type="dxa"/>
              <w:start w:w="90" w:type="dxa"/>
              <w:bottom w:w="90" w:type="dxa"/>
              <w:end w:w="90" w:type="dxa"/>
            </w:tcMar>
            <w:vAlign w:val="top"/>
          </w:tcPr>
          <w:p>
            <w:r>
              <w:rPr>
                <w:sz w:val="17"/>
              </w:rPr>
              <w:t>QR / lien de campagne</w:t>
            </w:r>
          </w:p>
        </w:tc>
        <w:tc>
          <w:tcPr>
            <w:tcW w:type="dxa" w:w="7272"/>
            <w:tcMar>
              <w:top w:w="90" w:type="dxa"/>
              <w:start w:w="90" w:type="dxa"/>
              <w:bottom w:w="90" w:type="dxa"/>
              <w:end w:w="90" w:type="dxa"/>
            </w:tcMar>
            <w:vAlign w:val="top"/>
          </w:tcPr>
          <w:p>
            <w:r>
              <w:rPr>
                <w:sz w:val="17"/>
              </w:rPr>
              <w:t>Lien pré-identifié rattaché à un groupement ou une campagne.</w:t>
            </w:r>
          </w:p>
        </w:tc>
      </w:tr>
      <w:tr>
        <w:tc>
          <w:tcPr>
            <w:tcW w:type="dxa" w:w="2376"/>
            <w:tcMar>
              <w:top w:w="90" w:type="dxa"/>
              <w:start w:w="90" w:type="dxa"/>
              <w:bottom w:w="90" w:type="dxa"/>
              <w:end w:w="90" w:type="dxa"/>
            </w:tcMar>
            <w:vAlign w:val="top"/>
          </w:tcPr>
          <w:p>
            <w:r>
              <w:rPr>
                <w:sz w:val="17"/>
              </w:rPr>
              <w:t>API future</w:t>
            </w:r>
          </w:p>
        </w:tc>
        <w:tc>
          <w:tcPr>
            <w:tcW w:type="dxa" w:w="7272"/>
            <w:tcMar>
              <w:top w:w="90" w:type="dxa"/>
              <w:start w:w="90" w:type="dxa"/>
              <w:bottom w:w="90" w:type="dxa"/>
              <w:end w:w="90" w:type="dxa"/>
            </w:tcMar>
            <w:vAlign w:val="top"/>
          </w:tcPr>
          <w:p>
            <w:r>
              <w:rPr>
                <w:sz w:val="17"/>
              </w:rPr>
              <w:t>Création contrôlée depuis un partenaire autorisé, notamment INPS.</w:t>
            </w:r>
          </w:p>
        </w:tc>
      </w:tr>
    </w:tbl>
    <w:p>
      <w:pPr>
        <w:spacing w:after="20"/>
      </w:pPr>
    </w:p>
    <w:p>
      <w:pPr>
        <w:pStyle w:val="Heading2"/>
      </w:pPr>
      <w:r>
        <w:t>7.2 Workflow KYC</w:t>
      </w:r>
    </w:p>
    <w:p>
      <w:pPr>
        <w:pStyle w:val="ListNumber"/>
      </w:pPr>
      <w:r>
        <w:t>Saisie des données minimales et consentement à l’utilisation des données.</w:t>
      </w:r>
    </w:p>
    <w:p>
      <w:pPr>
        <w:pStyle w:val="ListNumber"/>
      </w:pPr>
      <w:r>
        <w:t>Verification OTP du téléphone et/ou de l’e-mail.</w:t>
      </w:r>
    </w:p>
    <w:p>
      <w:pPr>
        <w:pStyle w:val="ListNumber"/>
      </w:pPr>
      <w:r>
        <w:t>Téléversement des pièces obligatoires selon le type d’entreprise.</w:t>
      </w:r>
    </w:p>
    <w:p>
      <w:pPr>
        <w:pStyle w:val="ListNumber"/>
      </w:pPr>
      <w:r>
        <w:t>Contrôles de format, antivirus, lisibilité et date de validité.</w:t>
      </w:r>
    </w:p>
    <w:p>
      <w:pPr>
        <w:pStyle w:val="ListNumber"/>
      </w:pPr>
      <w:r>
        <w:t>Dédoublonnage automatique et alerte en cas de correspondance.</w:t>
      </w:r>
    </w:p>
    <w:p>
      <w:pPr>
        <w:pStyle w:val="ListNumber"/>
      </w:pPr>
      <w:r>
        <w:t>Contrôle métier par le service membres et demande de compléments.</w:t>
      </w:r>
    </w:p>
    <w:p>
      <w:pPr>
        <w:pStyle w:val="ListNumber"/>
      </w:pPr>
      <w:r>
        <w:t>Validation finale par l’autorité habilitée du CNPM.</w:t>
      </w:r>
    </w:p>
    <w:p>
      <w:pPr>
        <w:pStyle w:val="ListNumber"/>
      </w:pPr>
      <w:r>
        <w:t>Activation du compte, attribution du numéro membre et invitation au portail.</w:t>
      </w:r>
    </w:p>
    <w:p>
      <w:pPr>
        <w:pStyle w:val="Heading2"/>
      </w:pPr>
      <w:r>
        <w:t>7.3 Exigences et règles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ENR-001</w:t>
            </w:r>
          </w:p>
        </w:tc>
        <w:tc>
          <w:tcPr>
            <w:tcW w:type="dxa" w:w="4680"/>
            <w:tcMar>
              <w:top w:w="90" w:type="dxa"/>
              <w:start w:w="90" w:type="dxa"/>
              <w:bottom w:w="90" w:type="dxa"/>
              <w:end w:w="90" w:type="dxa"/>
            </w:tcMar>
            <w:vAlign w:val="top"/>
          </w:tcPr>
          <w:p>
            <w:r>
              <w:rPr>
                <w:sz w:val="16"/>
              </w:rPr>
              <w:t>Proposer des formulaires adaptatifs selon forme juridique et catégorie.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Les champs et pièces varient automatiquement selon le profil.</w:t>
            </w:r>
          </w:p>
        </w:tc>
      </w:tr>
      <w:tr>
        <w:tc>
          <w:tcPr>
            <w:tcW w:type="dxa" w:w="1037"/>
            <w:tcMar>
              <w:top w:w="90" w:type="dxa"/>
              <w:start w:w="90" w:type="dxa"/>
              <w:bottom w:w="90" w:type="dxa"/>
              <w:end w:w="90" w:type="dxa"/>
            </w:tcMar>
            <w:vAlign w:val="top"/>
          </w:tcPr>
          <w:p>
            <w:r>
              <w:rPr>
                <w:sz w:val="16"/>
              </w:rPr>
              <w:t>ENR-002</w:t>
            </w:r>
          </w:p>
        </w:tc>
        <w:tc>
          <w:tcPr>
            <w:tcW w:type="dxa" w:w="4680"/>
            <w:tcMar>
              <w:top w:w="90" w:type="dxa"/>
              <w:start w:w="90" w:type="dxa"/>
              <w:bottom w:w="90" w:type="dxa"/>
              <w:end w:w="90" w:type="dxa"/>
            </w:tcMar>
            <w:vAlign w:val="top"/>
          </w:tcPr>
          <w:p>
            <w:r>
              <w:rPr>
                <w:sz w:val="16"/>
              </w:rPr>
              <w:t>Sauvegarder un brouillon et reprendre sur un autre appareil.</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demandeur récupère son dossier après authentification OTP.</w:t>
            </w:r>
          </w:p>
        </w:tc>
      </w:tr>
      <w:tr>
        <w:tc>
          <w:tcPr>
            <w:tcW w:type="dxa" w:w="1037"/>
            <w:tcMar>
              <w:top w:w="90" w:type="dxa"/>
              <w:start w:w="90" w:type="dxa"/>
              <w:bottom w:w="90" w:type="dxa"/>
              <w:end w:w="90" w:type="dxa"/>
            </w:tcMar>
            <w:vAlign w:val="top"/>
          </w:tcPr>
          <w:p>
            <w:r>
              <w:rPr>
                <w:sz w:val="16"/>
              </w:rPr>
              <w:t>ENR-003</w:t>
            </w:r>
          </w:p>
        </w:tc>
        <w:tc>
          <w:tcPr>
            <w:tcW w:type="dxa" w:w="4680"/>
            <w:tcMar>
              <w:top w:w="90" w:type="dxa"/>
              <w:start w:w="90" w:type="dxa"/>
              <w:bottom w:w="90" w:type="dxa"/>
              <w:end w:w="90" w:type="dxa"/>
            </w:tcMar>
            <w:vAlign w:val="top"/>
          </w:tcPr>
          <w:p>
            <w:r>
              <w:rPr>
                <w:sz w:val="16"/>
              </w:rPr>
              <w:t>Capturer RCCM, NIF et contacts avec contrôle de format.</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Les formats invalides sont refusés avant soumission.</w:t>
            </w:r>
          </w:p>
        </w:tc>
      </w:tr>
      <w:tr>
        <w:tc>
          <w:tcPr>
            <w:tcW w:type="dxa" w:w="1037"/>
            <w:tcMar>
              <w:top w:w="90" w:type="dxa"/>
              <w:start w:w="90" w:type="dxa"/>
              <w:bottom w:w="90" w:type="dxa"/>
              <w:end w:w="90" w:type="dxa"/>
            </w:tcMar>
            <w:vAlign w:val="top"/>
          </w:tcPr>
          <w:p>
            <w:r>
              <w:rPr>
                <w:sz w:val="16"/>
              </w:rPr>
              <w:t>ENR-004</w:t>
            </w:r>
          </w:p>
        </w:tc>
        <w:tc>
          <w:tcPr>
            <w:tcW w:type="dxa" w:w="4680"/>
            <w:tcMar>
              <w:top w:w="90" w:type="dxa"/>
              <w:start w:w="90" w:type="dxa"/>
              <w:bottom w:w="90" w:type="dxa"/>
              <w:end w:w="90" w:type="dxa"/>
            </w:tcMar>
            <w:vAlign w:val="top"/>
          </w:tcPr>
          <w:p>
            <w:r>
              <w:rPr>
                <w:sz w:val="16"/>
              </w:rPr>
              <w:t>Gérer les pièces obligatoires, facultatives et conditionnelles.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La soumission est bloquée si une pièce requise manque.</w:t>
            </w:r>
          </w:p>
        </w:tc>
      </w:tr>
      <w:tr>
        <w:tc>
          <w:tcPr>
            <w:tcW w:type="dxa" w:w="1037"/>
            <w:tcMar>
              <w:top w:w="90" w:type="dxa"/>
              <w:start w:w="90" w:type="dxa"/>
              <w:bottom w:w="90" w:type="dxa"/>
              <w:end w:w="90" w:type="dxa"/>
            </w:tcMar>
            <w:vAlign w:val="top"/>
          </w:tcPr>
          <w:p>
            <w:r>
              <w:rPr>
                <w:sz w:val="16"/>
              </w:rPr>
              <w:t>ENR-005</w:t>
            </w:r>
          </w:p>
        </w:tc>
        <w:tc>
          <w:tcPr>
            <w:tcW w:type="dxa" w:w="4680"/>
            <w:tcMar>
              <w:top w:w="90" w:type="dxa"/>
              <w:start w:w="90" w:type="dxa"/>
              <w:bottom w:w="90" w:type="dxa"/>
              <w:end w:w="90" w:type="dxa"/>
            </w:tcMar>
            <w:vAlign w:val="top"/>
          </w:tcPr>
          <w:p>
            <w:r>
              <w:rPr>
                <w:sz w:val="16"/>
              </w:rPr>
              <w:t>Permettre au contrôleur de demander un complément avec motif.</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membre reçoit la liste exacte et une échéance.</w:t>
            </w:r>
          </w:p>
        </w:tc>
      </w:tr>
      <w:tr>
        <w:tc>
          <w:tcPr>
            <w:tcW w:type="dxa" w:w="1037"/>
            <w:tcMar>
              <w:top w:w="90" w:type="dxa"/>
              <w:start w:w="90" w:type="dxa"/>
              <w:bottom w:w="90" w:type="dxa"/>
              <w:end w:w="90" w:type="dxa"/>
            </w:tcMar>
            <w:vAlign w:val="top"/>
          </w:tcPr>
          <w:p>
            <w:r>
              <w:rPr>
                <w:sz w:val="16"/>
              </w:rPr>
              <w:t>ENR-006</w:t>
            </w:r>
          </w:p>
        </w:tc>
        <w:tc>
          <w:tcPr>
            <w:tcW w:type="dxa" w:w="4680"/>
            <w:tcMar>
              <w:top w:w="90" w:type="dxa"/>
              <w:start w:w="90" w:type="dxa"/>
              <w:bottom w:w="90" w:type="dxa"/>
              <w:end w:w="90" w:type="dxa"/>
            </w:tcMar>
            <w:vAlign w:val="top"/>
          </w:tcPr>
          <w:p>
            <w:r>
              <w:rPr>
                <w:sz w:val="16"/>
              </w:rPr>
              <w:t>Tracer le consentement, la version de la politique et l’horodatage.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La preuve est exportable pour audit.</w:t>
            </w:r>
          </w:p>
        </w:tc>
      </w:tr>
      <w:tr>
        <w:tc>
          <w:tcPr>
            <w:tcW w:type="dxa" w:w="1037"/>
            <w:tcMar>
              <w:top w:w="90" w:type="dxa"/>
              <w:start w:w="90" w:type="dxa"/>
              <w:bottom w:w="90" w:type="dxa"/>
              <w:end w:w="90" w:type="dxa"/>
            </w:tcMar>
            <w:vAlign w:val="top"/>
          </w:tcPr>
          <w:p>
            <w:r>
              <w:rPr>
                <w:sz w:val="16"/>
              </w:rPr>
              <w:t>ENR-007</w:t>
            </w:r>
          </w:p>
        </w:tc>
        <w:tc>
          <w:tcPr>
            <w:tcW w:type="dxa" w:w="4680"/>
            <w:tcMar>
              <w:top w:w="90" w:type="dxa"/>
              <w:start w:w="90" w:type="dxa"/>
              <w:bottom w:w="90" w:type="dxa"/>
              <w:end w:w="90" w:type="dxa"/>
            </w:tcMar>
            <w:vAlign w:val="top"/>
          </w:tcPr>
          <w:p>
            <w:r>
              <w:rPr>
                <w:sz w:val="16"/>
              </w:rPr>
              <w:t>Mesurer le taux de conversion par canal, groupement et campagne.</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Le tableau de bord présente les étapes d’abandon.</w:t>
            </w:r>
          </w:p>
        </w:tc>
      </w:tr>
      <w:tr>
        <w:tc>
          <w:tcPr>
            <w:tcW w:type="dxa" w:w="1037"/>
            <w:tcMar>
              <w:top w:w="90" w:type="dxa"/>
              <w:start w:w="90" w:type="dxa"/>
              <w:bottom w:w="90" w:type="dxa"/>
              <w:end w:w="90" w:type="dxa"/>
            </w:tcMar>
            <w:vAlign w:val="top"/>
          </w:tcPr>
          <w:p>
            <w:r>
              <w:rPr>
                <w:sz w:val="16"/>
              </w:rPr>
              <w:t>ENR-008</w:t>
            </w:r>
          </w:p>
        </w:tc>
        <w:tc>
          <w:tcPr>
            <w:tcW w:type="dxa" w:w="4680"/>
            <w:tcMar>
              <w:top w:w="90" w:type="dxa"/>
              <w:start w:w="90" w:type="dxa"/>
              <w:bottom w:w="90" w:type="dxa"/>
              <w:end w:w="90" w:type="dxa"/>
            </w:tcMar>
            <w:vAlign w:val="top"/>
          </w:tcPr>
          <w:p>
            <w:r>
              <w:rPr>
                <w:sz w:val="16"/>
              </w:rPr>
              <w:t>Fonctionner en mode faible connectivité.</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Compression images, reprise de chargement et synchronisation différée.</w:t>
            </w:r>
          </w:p>
        </w:tc>
      </w:tr>
    </w:tbl>
    <w:p>
      <w:pPr>
        <w:spacing w:after="20"/>
      </w:pPr>
    </w:p>
    <w:p>
      <w:pPr>
        <w:pStyle w:val="Heading1"/>
      </w:pPr>
      <w:r>
        <w:t>8. Gestion des cotisations</w:t>
      </w:r>
    </w:p>
    <w:p>
      <w:pPr>
        <w:pStyle w:val="Heading2"/>
      </w:pPr>
      <w:r>
        <w:t>8.1 Paramétrage des barèmes</w:t>
      </w:r>
    </w:p>
    <w:p>
      <w:r>
        <w:t>Le moteur de cotisation doit supporter des montants fixes, des tranches, des pourcentages, des minimums/maximums, des prorata temporis, des remises autorisées, des pénalités, des régularisations et des accords spécifiques validés.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23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Type de règle</w:t>
            </w:r>
          </w:p>
        </w:tc>
        <w:tc>
          <w:tcPr>
            <w:tcW w:type="dxa" w:w="7416"/>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Exemple de paramétrage</w:t>
            </w:r>
          </w:p>
        </w:tc>
      </w:tr>
      <w:tr>
        <w:tc>
          <w:tcPr>
            <w:tcW w:type="dxa" w:w="2232"/>
            <w:tcMar>
              <w:top w:w="90" w:type="dxa"/>
              <w:start w:w="90" w:type="dxa"/>
              <w:bottom w:w="90" w:type="dxa"/>
              <w:end w:w="90" w:type="dxa"/>
            </w:tcMar>
            <w:vAlign w:val="top"/>
          </w:tcPr>
          <w:p>
            <w:r>
              <w:rPr>
                <w:sz w:val="17"/>
              </w:rPr>
              <w:t>Montant fixe</w:t>
            </w:r>
          </w:p>
        </w:tc>
        <w:tc>
          <w:tcPr>
            <w:tcW w:type="dxa" w:w="7416"/>
            <w:tcMar>
              <w:top w:w="90" w:type="dxa"/>
              <w:start w:w="90" w:type="dxa"/>
              <w:bottom w:w="90" w:type="dxa"/>
              <w:end w:w="90" w:type="dxa"/>
            </w:tcMar>
            <w:vAlign w:val="top"/>
          </w:tcPr>
          <w:p>
            <w:r>
              <w:rPr>
                <w:sz w:val="17"/>
              </w:rPr>
              <w:t>Montant annuel par catégorie de membre.</w:t>
            </w:r>
          </w:p>
        </w:tc>
      </w:tr>
      <w:tr>
        <w:tc>
          <w:tcPr>
            <w:tcW w:type="dxa" w:w="2232"/>
            <w:tcMar>
              <w:top w:w="90" w:type="dxa"/>
              <w:start w:w="90" w:type="dxa"/>
              <w:bottom w:w="90" w:type="dxa"/>
              <w:end w:w="90" w:type="dxa"/>
            </w:tcMar>
            <w:vAlign w:val="top"/>
          </w:tcPr>
          <w:p>
            <w:r>
              <w:rPr>
                <w:sz w:val="17"/>
              </w:rPr>
              <w:t>Tranche</w:t>
            </w:r>
          </w:p>
        </w:tc>
        <w:tc>
          <w:tcPr>
            <w:tcW w:type="dxa" w:w="7416"/>
            <w:tcMar>
              <w:top w:w="90" w:type="dxa"/>
              <w:start w:w="90" w:type="dxa"/>
              <w:bottom w:w="90" w:type="dxa"/>
              <w:end w:w="90" w:type="dxa"/>
            </w:tcMar>
            <w:vAlign w:val="top"/>
          </w:tcPr>
          <w:p>
            <w:r>
              <w:rPr>
                <w:sz w:val="17"/>
              </w:rPr>
              <w:t>Montant selon effectif, chiffre d’affaires ou capital déclaré.</w:t>
            </w:r>
          </w:p>
        </w:tc>
      </w:tr>
      <w:tr>
        <w:tc>
          <w:tcPr>
            <w:tcW w:type="dxa" w:w="2232"/>
            <w:tcMar>
              <w:top w:w="90" w:type="dxa"/>
              <w:start w:w="90" w:type="dxa"/>
              <w:bottom w:w="90" w:type="dxa"/>
              <w:end w:w="90" w:type="dxa"/>
            </w:tcMar>
            <w:vAlign w:val="top"/>
          </w:tcPr>
          <w:p>
            <w:r>
              <w:rPr>
                <w:sz w:val="17"/>
              </w:rPr>
              <w:t>Pourcentage</w:t>
            </w:r>
          </w:p>
        </w:tc>
        <w:tc>
          <w:tcPr>
            <w:tcW w:type="dxa" w:w="7416"/>
            <w:tcMar>
              <w:top w:w="90" w:type="dxa"/>
              <w:start w:w="90" w:type="dxa"/>
              <w:bottom w:w="90" w:type="dxa"/>
              <w:end w:w="90" w:type="dxa"/>
            </w:tcMar>
            <w:vAlign w:val="top"/>
          </w:tcPr>
          <w:p>
            <w:r>
              <w:rPr>
                <w:sz w:val="17"/>
              </w:rPr>
              <w:t>Taux appliqué à une base de calcul déclarée et validée.</w:t>
            </w:r>
          </w:p>
        </w:tc>
      </w:tr>
      <w:tr>
        <w:tc>
          <w:tcPr>
            <w:tcW w:type="dxa" w:w="2232"/>
            <w:tcMar>
              <w:top w:w="90" w:type="dxa"/>
              <w:start w:w="90" w:type="dxa"/>
              <w:bottom w:w="90" w:type="dxa"/>
              <w:end w:w="90" w:type="dxa"/>
            </w:tcMar>
            <w:vAlign w:val="top"/>
          </w:tcPr>
          <w:p>
            <w:r>
              <w:rPr>
                <w:sz w:val="17"/>
              </w:rPr>
              <w:t>Prorata</w:t>
            </w:r>
          </w:p>
        </w:tc>
        <w:tc>
          <w:tcPr>
            <w:tcW w:type="dxa" w:w="7416"/>
            <w:tcMar>
              <w:top w:w="90" w:type="dxa"/>
              <w:start w:w="90" w:type="dxa"/>
              <w:bottom w:w="90" w:type="dxa"/>
              <w:end w:w="90" w:type="dxa"/>
            </w:tcMar>
            <w:vAlign w:val="top"/>
          </w:tcPr>
          <w:p>
            <w:r>
              <w:rPr>
                <w:sz w:val="17"/>
              </w:rPr>
              <w:t>Cotisation calculée selon le mois d’adhésion ou la durée restante.</w:t>
            </w:r>
          </w:p>
        </w:tc>
      </w:tr>
      <w:tr>
        <w:tc>
          <w:tcPr>
            <w:tcW w:type="dxa" w:w="2232"/>
            <w:tcMar>
              <w:top w:w="90" w:type="dxa"/>
              <w:start w:w="90" w:type="dxa"/>
              <w:bottom w:w="90" w:type="dxa"/>
              <w:end w:w="90" w:type="dxa"/>
            </w:tcMar>
            <w:vAlign w:val="top"/>
          </w:tcPr>
          <w:p>
            <w:r>
              <w:rPr>
                <w:sz w:val="17"/>
              </w:rPr>
              <w:t>Pénalité</w:t>
            </w:r>
          </w:p>
        </w:tc>
        <w:tc>
          <w:tcPr>
            <w:tcW w:type="dxa" w:w="7416"/>
            <w:tcMar>
              <w:top w:w="90" w:type="dxa"/>
              <w:start w:w="90" w:type="dxa"/>
              <w:bottom w:w="90" w:type="dxa"/>
              <w:end w:w="90" w:type="dxa"/>
            </w:tcMar>
            <w:vAlign w:val="top"/>
          </w:tcPr>
          <w:p>
            <w:r>
              <w:rPr>
                <w:sz w:val="17"/>
              </w:rPr>
              <w:t>Montant ou taux après échéance et période de grâce.</w:t>
            </w:r>
          </w:p>
        </w:tc>
      </w:tr>
      <w:tr>
        <w:tc>
          <w:tcPr>
            <w:tcW w:type="dxa" w:w="2232"/>
            <w:tcMar>
              <w:top w:w="90" w:type="dxa"/>
              <w:start w:w="90" w:type="dxa"/>
              <w:bottom w:w="90" w:type="dxa"/>
              <w:end w:w="90" w:type="dxa"/>
            </w:tcMar>
            <w:vAlign w:val="top"/>
          </w:tcPr>
          <w:p>
            <w:r>
              <w:rPr>
                <w:sz w:val="17"/>
              </w:rPr>
              <w:t>Remise</w:t>
            </w:r>
          </w:p>
        </w:tc>
        <w:tc>
          <w:tcPr>
            <w:tcW w:type="dxa" w:w="7416"/>
            <w:tcMar>
              <w:top w:w="90" w:type="dxa"/>
              <w:start w:w="90" w:type="dxa"/>
              <w:bottom w:w="90" w:type="dxa"/>
              <w:end w:w="90" w:type="dxa"/>
            </w:tcMar>
            <w:vAlign w:val="top"/>
          </w:tcPr>
          <w:p>
            <w:r>
              <w:rPr>
                <w:sz w:val="17"/>
              </w:rPr>
              <w:t>Pourcentage ou montant, soumis à autorisation et justification.</w:t>
            </w:r>
          </w:p>
        </w:tc>
      </w:tr>
      <w:tr>
        <w:tc>
          <w:tcPr>
            <w:tcW w:type="dxa" w:w="2232"/>
            <w:tcMar>
              <w:top w:w="90" w:type="dxa"/>
              <w:start w:w="90" w:type="dxa"/>
              <w:bottom w:w="90" w:type="dxa"/>
              <w:end w:w="90" w:type="dxa"/>
            </w:tcMar>
            <w:vAlign w:val="top"/>
          </w:tcPr>
          <w:p>
            <w:r>
              <w:rPr>
                <w:sz w:val="17"/>
              </w:rPr>
              <w:t>Échéancier</w:t>
            </w:r>
          </w:p>
        </w:tc>
        <w:tc>
          <w:tcPr>
            <w:tcW w:type="dxa" w:w="7416"/>
            <w:tcMar>
              <w:top w:w="90" w:type="dxa"/>
              <w:start w:w="90" w:type="dxa"/>
              <w:bottom w:w="90" w:type="dxa"/>
              <w:end w:w="90" w:type="dxa"/>
            </w:tcMar>
            <w:vAlign w:val="top"/>
          </w:tcPr>
          <w:p>
            <w:r>
              <w:rPr>
                <w:sz w:val="17"/>
              </w:rPr>
              <w:t>Fractionnement en échéances avec dates et conditions.</w:t>
            </w:r>
          </w:p>
        </w:tc>
      </w:tr>
      <w:tr>
        <w:tc>
          <w:tcPr>
            <w:tcW w:type="dxa" w:w="2232"/>
            <w:tcMar>
              <w:top w:w="90" w:type="dxa"/>
              <w:start w:w="90" w:type="dxa"/>
              <w:bottom w:w="90" w:type="dxa"/>
              <w:end w:w="90" w:type="dxa"/>
            </w:tcMar>
            <w:vAlign w:val="top"/>
          </w:tcPr>
          <w:p>
            <w:r>
              <w:rPr>
                <w:sz w:val="17"/>
              </w:rPr>
              <w:t>Accord particulier</w:t>
            </w:r>
          </w:p>
        </w:tc>
        <w:tc>
          <w:tcPr>
            <w:tcW w:type="dxa" w:w="7416"/>
            <w:tcMar>
              <w:top w:w="90" w:type="dxa"/>
              <w:start w:w="90" w:type="dxa"/>
              <w:bottom w:w="90" w:type="dxa"/>
              <w:end w:w="90" w:type="dxa"/>
            </w:tcMar>
            <w:vAlign w:val="top"/>
          </w:tcPr>
          <w:p>
            <w:r>
              <w:rPr>
                <w:sz w:val="17"/>
              </w:rPr>
              <w:t>Barème individualisé avec date de validité et validation renforcée.</w:t>
            </w:r>
          </w:p>
        </w:tc>
      </w:tr>
    </w:tbl>
    <w:p>
      <w:pPr>
        <w:spacing w:after="20"/>
      </w:pPr>
    </w:p>
    <w:p>
      <w:pPr>
        <w:pStyle w:val="Heading2"/>
      </w:pPr>
      <w:r>
        <w:t>8.2 Appels de cotisation</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COT-001</w:t>
            </w:r>
          </w:p>
        </w:tc>
        <w:tc>
          <w:tcPr>
            <w:tcW w:type="dxa" w:w="4680"/>
            <w:tcMar>
              <w:top w:w="90" w:type="dxa"/>
              <w:start w:w="90" w:type="dxa"/>
              <w:bottom w:w="90" w:type="dxa"/>
              <w:end w:w="90" w:type="dxa"/>
            </w:tcMar>
            <w:vAlign w:val="top"/>
          </w:tcPr>
          <w:p>
            <w:r>
              <w:rPr>
                <w:sz w:val="16"/>
              </w:rPr>
              <w:t>Générer automatiquement les appels selon l’exercice et le barème.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Chaque membre éligible reçoit un appel unique et traçable.</w:t>
            </w:r>
          </w:p>
        </w:tc>
      </w:tr>
      <w:tr>
        <w:tc>
          <w:tcPr>
            <w:tcW w:type="dxa" w:w="1037"/>
            <w:tcMar>
              <w:top w:w="90" w:type="dxa"/>
              <w:start w:w="90" w:type="dxa"/>
              <w:bottom w:w="90" w:type="dxa"/>
              <w:end w:w="90" w:type="dxa"/>
            </w:tcMar>
            <w:vAlign w:val="top"/>
          </w:tcPr>
          <w:p>
            <w:r>
              <w:rPr>
                <w:sz w:val="16"/>
              </w:rPr>
              <w:t>COT-002</w:t>
            </w:r>
          </w:p>
        </w:tc>
        <w:tc>
          <w:tcPr>
            <w:tcW w:type="dxa" w:w="4680"/>
            <w:tcMar>
              <w:top w:w="90" w:type="dxa"/>
              <w:start w:w="90" w:type="dxa"/>
              <w:bottom w:w="90" w:type="dxa"/>
              <w:end w:w="90" w:type="dxa"/>
            </w:tcMar>
            <w:vAlign w:val="top"/>
          </w:tcPr>
          <w:p>
            <w:r>
              <w:rPr>
                <w:sz w:val="16"/>
              </w:rPr>
              <w:t>Soumettre une campagne d’appels à simulation puis validation.</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total, les exceptions et écarts sont visibles avant émission.</w:t>
            </w:r>
          </w:p>
        </w:tc>
      </w:tr>
      <w:tr>
        <w:tc>
          <w:tcPr>
            <w:tcW w:type="dxa" w:w="1037"/>
            <w:tcMar>
              <w:top w:w="90" w:type="dxa"/>
              <w:start w:w="90" w:type="dxa"/>
              <w:bottom w:w="90" w:type="dxa"/>
              <w:end w:w="90" w:type="dxa"/>
            </w:tcMar>
            <w:vAlign w:val="top"/>
          </w:tcPr>
          <w:p>
            <w:r>
              <w:rPr>
                <w:sz w:val="16"/>
              </w:rPr>
              <w:t>COT-003</w:t>
            </w:r>
          </w:p>
        </w:tc>
        <w:tc>
          <w:tcPr>
            <w:tcW w:type="dxa" w:w="4680"/>
            <w:tcMar>
              <w:top w:w="90" w:type="dxa"/>
              <w:start w:w="90" w:type="dxa"/>
              <w:bottom w:w="90" w:type="dxa"/>
              <w:end w:w="90" w:type="dxa"/>
            </w:tcMar>
            <w:vAlign w:val="top"/>
          </w:tcPr>
          <w:p>
            <w:r>
              <w:rPr>
                <w:sz w:val="16"/>
              </w:rPr>
              <w:t>Émettre l’appel en PDF et via portail, e-mail, SMS ou push.</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L’historique de diffusion indique canal, date et statut.</w:t>
            </w:r>
          </w:p>
        </w:tc>
      </w:tr>
      <w:tr>
        <w:tc>
          <w:tcPr>
            <w:tcW w:type="dxa" w:w="1037"/>
            <w:tcMar>
              <w:top w:w="90" w:type="dxa"/>
              <w:start w:w="90" w:type="dxa"/>
              <w:bottom w:w="90" w:type="dxa"/>
              <w:end w:w="90" w:type="dxa"/>
            </w:tcMar>
            <w:vAlign w:val="top"/>
          </w:tcPr>
          <w:p>
            <w:r>
              <w:rPr>
                <w:sz w:val="16"/>
              </w:rPr>
              <w:t>COT-004</w:t>
            </w:r>
          </w:p>
        </w:tc>
        <w:tc>
          <w:tcPr>
            <w:tcW w:type="dxa" w:w="4680"/>
            <w:tcMar>
              <w:top w:w="90" w:type="dxa"/>
              <w:start w:w="90" w:type="dxa"/>
              <w:bottom w:w="90" w:type="dxa"/>
              <w:end w:w="90" w:type="dxa"/>
            </w:tcMar>
            <w:vAlign w:val="top"/>
          </w:tcPr>
          <w:p>
            <w:r>
              <w:rPr>
                <w:sz w:val="16"/>
              </w:rPr>
              <w:t>Gérer les appels complémentaires, avoirs et annulations.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Chaque correction référence l’appel initial et exige un motif.</w:t>
            </w:r>
          </w:p>
        </w:tc>
      </w:tr>
      <w:tr>
        <w:tc>
          <w:tcPr>
            <w:tcW w:type="dxa" w:w="1037"/>
            <w:tcMar>
              <w:top w:w="90" w:type="dxa"/>
              <w:start w:w="90" w:type="dxa"/>
              <w:bottom w:w="90" w:type="dxa"/>
              <w:end w:w="90" w:type="dxa"/>
            </w:tcMar>
            <w:vAlign w:val="top"/>
          </w:tcPr>
          <w:p>
            <w:r>
              <w:rPr>
                <w:sz w:val="16"/>
              </w:rPr>
              <w:t>COT-005</w:t>
            </w:r>
          </w:p>
        </w:tc>
        <w:tc>
          <w:tcPr>
            <w:tcW w:type="dxa" w:w="4680"/>
            <w:tcMar>
              <w:top w:w="90" w:type="dxa"/>
              <w:start w:w="90" w:type="dxa"/>
              <w:bottom w:w="90" w:type="dxa"/>
              <w:end w:w="90" w:type="dxa"/>
            </w:tcMar>
            <w:vAlign w:val="top"/>
          </w:tcPr>
          <w:p>
            <w:r>
              <w:rPr>
                <w:sz w:val="16"/>
              </w:rPr>
              <w:t>Gérer les échéanciers et paiements partiels.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solde et la prochaine échéance sont recalculés en temps réel.</w:t>
            </w:r>
          </w:p>
        </w:tc>
      </w:tr>
      <w:tr>
        <w:tc>
          <w:tcPr>
            <w:tcW w:type="dxa" w:w="1037"/>
            <w:tcMar>
              <w:top w:w="90" w:type="dxa"/>
              <w:start w:w="90" w:type="dxa"/>
              <w:bottom w:w="90" w:type="dxa"/>
              <w:end w:w="90" w:type="dxa"/>
            </w:tcMar>
            <w:vAlign w:val="top"/>
          </w:tcPr>
          <w:p>
            <w:r>
              <w:rPr>
                <w:sz w:val="16"/>
              </w:rPr>
              <w:t>COT-006</w:t>
            </w:r>
          </w:p>
        </w:tc>
        <w:tc>
          <w:tcPr>
            <w:tcW w:type="dxa" w:w="4680"/>
            <w:tcMar>
              <w:top w:w="90" w:type="dxa"/>
              <w:start w:w="90" w:type="dxa"/>
              <w:bottom w:w="90" w:type="dxa"/>
              <w:end w:w="90" w:type="dxa"/>
            </w:tcMar>
            <w:vAlign w:val="top"/>
          </w:tcPr>
          <w:p>
            <w:r>
              <w:rPr>
                <w:sz w:val="16"/>
              </w:rPr>
              <w:t>Appliquer automatiquement la période de grâce et les pénalités.</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Les règles sont versionnées et visibles dans le détail de calcul.</w:t>
            </w:r>
          </w:p>
        </w:tc>
      </w:tr>
      <w:tr>
        <w:tc>
          <w:tcPr>
            <w:tcW w:type="dxa" w:w="1037"/>
            <w:tcMar>
              <w:top w:w="90" w:type="dxa"/>
              <w:start w:w="90" w:type="dxa"/>
              <w:bottom w:w="90" w:type="dxa"/>
              <w:end w:w="90" w:type="dxa"/>
            </w:tcMar>
            <w:vAlign w:val="top"/>
          </w:tcPr>
          <w:p>
            <w:r>
              <w:rPr>
                <w:sz w:val="16"/>
              </w:rPr>
              <w:t>COT-007</w:t>
            </w:r>
          </w:p>
        </w:tc>
        <w:tc>
          <w:tcPr>
            <w:tcW w:type="dxa" w:w="4680"/>
            <w:tcMar>
              <w:top w:w="90" w:type="dxa"/>
              <w:start w:w="90" w:type="dxa"/>
              <w:bottom w:w="90" w:type="dxa"/>
              <w:end w:w="90" w:type="dxa"/>
            </w:tcMar>
            <w:vAlign w:val="top"/>
          </w:tcPr>
          <w:p>
            <w:r>
              <w:rPr>
                <w:sz w:val="16"/>
              </w:rPr>
              <w:t>Bloquer la modification d’un appel déjà payé sans workflow d’annulation.</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Une opération corrective génère une écriture compensatrice.</w:t>
            </w:r>
          </w:p>
        </w:tc>
      </w:tr>
      <w:tr>
        <w:tc>
          <w:tcPr>
            <w:tcW w:type="dxa" w:w="1037"/>
            <w:tcMar>
              <w:top w:w="90" w:type="dxa"/>
              <w:start w:w="90" w:type="dxa"/>
              <w:bottom w:w="90" w:type="dxa"/>
              <w:end w:w="90" w:type="dxa"/>
            </w:tcMar>
            <w:vAlign w:val="top"/>
          </w:tcPr>
          <w:p>
            <w:r>
              <w:rPr>
                <w:sz w:val="16"/>
              </w:rPr>
              <w:t>COT-008</w:t>
            </w:r>
          </w:p>
        </w:tc>
        <w:tc>
          <w:tcPr>
            <w:tcW w:type="dxa" w:w="4680"/>
            <w:tcMar>
              <w:top w:w="90" w:type="dxa"/>
              <w:start w:w="90" w:type="dxa"/>
              <w:bottom w:w="90" w:type="dxa"/>
              <w:end w:w="90" w:type="dxa"/>
            </w:tcMar>
            <w:vAlign w:val="top"/>
          </w:tcPr>
          <w:p>
            <w:r>
              <w:rPr>
                <w:sz w:val="16"/>
              </w:rPr>
              <w:t>Produire une situation de compte certifiable à une date donnée.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document restitue appels, paiements, soldes et ajustements.</w:t>
            </w:r>
          </w:p>
        </w:tc>
      </w:tr>
    </w:tbl>
    <w:p>
      <w:pPr>
        <w:spacing w:after="20"/>
      </w:pPr>
    </w:p>
    <w:p>
      <w:pPr>
        <w:pStyle w:val="Heading2"/>
      </w:pPr>
      <w:r>
        <w:t>8.3 Règles clés</w:t>
      </w:r>
    </w:p>
    <w:p>
      <w:pPr>
        <w:pStyle w:val="ListBullet"/>
      </w:pPr>
      <w:r>
        <w:t>Un appel de cotisation possède un numéro unique par exercice.</w:t>
      </w:r>
    </w:p>
    <w:p>
      <w:pPr>
        <w:pStyle w:val="ListBullet"/>
      </w:pPr>
      <w:r>
        <w:t>La date d’exigibilité est distincte de la date d’émission.</w:t>
      </w:r>
    </w:p>
    <w:p>
      <w:pPr>
        <w:pStyle w:val="ListBullet"/>
      </w:pPr>
      <w:r>
        <w:t>Toute remise, annulation ou modification rétroactive requiert un motif et un niveau d’autorisation adapté au montant.</w:t>
      </w:r>
    </w:p>
    <w:p>
      <w:pPr>
        <w:pStyle w:val="ListBullet"/>
      </w:pPr>
      <w:r>
        <w:t>Un paiement est imputé d’abord selon la référence fournie; à défaut, selon les règles de priorité configurées et validées.</w:t>
      </w:r>
    </w:p>
    <w:p>
      <w:pPr>
        <w:pStyle w:val="ListBullet"/>
      </w:pPr>
      <w:r>
        <w:t>Le solde membre est la somme des appels exigibles moins paiements confirmés, avoirs et ajustements validés.</w:t>
      </w:r>
    </w:p>
    <w:p>
      <w:pPr>
        <w:pStyle w:val="Heading1"/>
      </w:pPr>
      <w:r>
        <w:t>9. Paiements, rapprochement et reçus</w:t>
      </w:r>
    </w:p>
    <w:p>
      <w:pPr>
        <w:pStyle w:val="Heading2"/>
      </w:pPr>
      <w:r>
        <w:t>9.1 Canaux de paiement</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23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Canal</w:t>
            </w:r>
          </w:p>
        </w:tc>
        <w:tc>
          <w:tcPr>
            <w:tcW w:type="dxa" w:w="7416"/>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Fonctionnement attendu</w:t>
            </w:r>
          </w:p>
        </w:tc>
      </w:tr>
      <w:tr>
        <w:tc>
          <w:tcPr>
            <w:tcW w:type="dxa" w:w="2232"/>
            <w:tcMar>
              <w:top w:w="90" w:type="dxa"/>
              <w:start w:w="90" w:type="dxa"/>
              <w:bottom w:w="90" w:type="dxa"/>
              <w:end w:w="90" w:type="dxa"/>
            </w:tcMar>
            <w:vAlign w:val="top"/>
          </w:tcPr>
          <w:p>
            <w:r>
              <w:rPr>
                <w:sz w:val="17"/>
              </w:rPr>
              <w:t>Mobile Money</w:t>
            </w:r>
          </w:p>
        </w:tc>
        <w:tc>
          <w:tcPr>
            <w:tcW w:type="dxa" w:w="7416"/>
            <w:tcMar>
              <w:top w:w="90" w:type="dxa"/>
              <w:start w:w="90" w:type="dxa"/>
              <w:bottom w:w="90" w:type="dxa"/>
              <w:end w:w="90" w:type="dxa"/>
            </w:tcMar>
            <w:vAlign w:val="top"/>
          </w:tcPr>
          <w:p>
            <w:r>
              <w:rPr>
                <w:sz w:val="17"/>
              </w:rPr>
              <w:t>Initiation, callback signé, statut temps réel, référence opérateur, gestion des échecs.</w:t>
            </w:r>
          </w:p>
        </w:tc>
      </w:tr>
      <w:tr>
        <w:tc>
          <w:tcPr>
            <w:tcW w:type="dxa" w:w="2232"/>
            <w:tcMar>
              <w:top w:w="90" w:type="dxa"/>
              <w:start w:w="90" w:type="dxa"/>
              <w:bottom w:w="90" w:type="dxa"/>
              <w:end w:w="90" w:type="dxa"/>
            </w:tcMar>
            <w:vAlign w:val="top"/>
          </w:tcPr>
          <w:p>
            <w:r>
              <w:rPr>
                <w:sz w:val="17"/>
              </w:rPr>
              <w:t>Virement bancaire</w:t>
            </w:r>
          </w:p>
        </w:tc>
        <w:tc>
          <w:tcPr>
            <w:tcW w:type="dxa" w:w="7416"/>
            <w:tcMar>
              <w:top w:w="90" w:type="dxa"/>
              <w:start w:w="90" w:type="dxa"/>
              <w:bottom w:w="90" w:type="dxa"/>
              <w:end w:w="90" w:type="dxa"/>
            </w:tcMar>
            <w:vAlign w:val="top"/>
          </w:tcPr>
          <w:p>
            <w:r>
              <w:rPr>
                <w:sz w:val="17"/>
              </w:rPr>
              <w:t>Référence unique, dépôt de preuve, import relevé/API bancaire, rapprochement.</w:t>
            </w:r>
          </w:p>
        </w:tc>
      </w:tr>
      <w:tr>
        <w:tc>
          <w:tcPr>
            <w:tcW w:type="dxa" w:w="2232"/>
            <w:tcMar>
              <w:top w:w="90" w:type="dxa"/>
              <w:start w:w="90" w:type="dxa"/>
              <w:bottom w:w="90" w:type="dxa"/>
              <w:end w:w="90" w:type="dxa"/>
            </w:tcMar>
            <w:vAlign w:val="top"/>
          </w:tcPr>
          <w:p>
            <w:r>
              <w:rPr>
                <w:sz w:val="17"/>
              </w:rPr>
              <w:t>Chèque</w:t>
            </w:r>
          </w:p>
        </w:tc>
        <w:tc>
          <w:tcPr>
            <w:tcW w:type="dxa" w:w="7416"/>
            <w:tcMar>
              <w:top w:w="90" w:type="dxa"/>
              <w:start w:w="90" w:type="dxa"/>
              <w:bottom w:w="90" w:type="dxa"/>
              <w:end w:w="90" w:type="dxa"/>
            </w:tcMar>
            <w:vAlign w:val="top"/>
          </w:tcPr>
          <w:p>
            <w:r>
              <w:rPr>
                <w:sz w:val="17"/>
              </w:rPr>
              <w:t>Saisie contrôlée, remise en banque, statut encaissé/rejeté, pièce jointe.</w:t>
            </w:r>
          </w:p>
        </w:tc>
      </w:tr>
      <w:tr>
        <w:tc>
          <w:tcPr>
            <w:tcW w:type="dxa" w:w="2232"/>
            <w:tcMar>
              <w:top w:w="90" w:type="dxa"/>
              <w:start w:w="90" w:type="dxa"/>
              <w:bottom w:w="90" w:type="dxa"/>
              <w:end w:w="90" w:type="dxa"/>
            </w:tcMar>
            <w:vAlign w:val="top"/>
          </w:tcPr>
          <w:p>
            <w:r>
              <w:rPr>
                <w:sz w:val="17"/>
              </w:rPr>
              <w:t>Espèces autorisées</w:t>
            </w:r>
          </w:p>
        </w:tc>
        <w:tc>
          <w:tcPr>
            <w:tcW w:type="dxa" w:w="7416"/>
            <w:tcMar>
              <w:top w:w="90" w:type="dxa"/>
              <w:start w:w="90" w:type="dxa"/>
              <w:bottom w:w="90" w:type="dxa"/>
              <w:end w:w="90" w:type="dxa"/>
            </w:tcMar>
            <w:vAlign w:val="top"/>
          </w:tcPr>
          <w:p>
            <w:r>
              <w:rPr>
                <w:sz w:val="17"/>
              </w:rPr>
              <w:t>Encaissement exceptionnel avec caisse, plafond, double contrôle et reçu provisoire.</w:t>
            </w:r>
          </w:p>
        </w:tc>
      </w:tr>
      <w:tr>
        <w:tc>
          <w:tcPr>
            <w:tcW w:type="dxa" w:w="2232"/>
            <w:tcMar>
              <w:top w:w="90" w:type="dxa"/>
              <w:start w:w="90" w:type="dxa"/>
              <w:bottom w:w="90" w:type="dxa"/>
              <w:end w:w="90" w:type="dxa"/>
            </w:tcMar>
            <w:vAlign w:val="top"/>
          </w:tcPr>
          <w:p>
            <w:r>
              <w:rPr>
                <w:sz w:val="17"/>
              </w:rPr>
              <w:t>Paiement groupé</w:t>
            </w:r>
          </w:p>
        </w:tc>
        <w:tc>
          <w:tcPr>
            <w:tcW w:type="dxa" w:w="7416"/>
            <w:tcMar>
              <w:top w:w="90" w:type="dxa"/>
              <w:start w:w="90" w:type="dxa"/>
              <w:bottom w:w="90" w:type="dxa"/>
              <w:end w:w="90" w:type="dxa"/>
            </w:tcMar>
            <w:vAlign w:val="top"/>
          </w:tcPr>
          <w:p>
            <w:r>
              <w:rPr>
                <w:sz w:val="17"/>
              </w:rPr>
              <w:t>Une entreprise règle plusieurs appels ou un groupe règle pour plusieurs entités.</w:t>
            </w:r>
          </w:p>
        </w:tc>
      </w:tr>
      <w:tr>
        <w:tc>
          <w:tcPr>
            <w:tcW w:type="dxa" w:w="2232"/>
            <w:tcMar>
              <w:top w:w="90" w:type="dxa"/>
              <w:start w:w="90" w:type="dxa"/>
              <w:bottom w:w="90" w:type="dxa"/>
              <w:end w:w="90" w:type="dxa"/>
            </w:tcMar>
            <w:vAlign w:val="top"/>
          </w:tcPr>
          <w:p>
            <w:r>
              <w:rPr>
                <w:sz w:val="17"/>
              </w:rPr>
              <w:t>Paiement partiel</w:t>
            </w:r>
          </w:p>
        </w:tc>
        <w:tc>
          <w:tcPr>
            <w:tcW w:type="dxa" w:w="7416"/>
            <w:tcMar>
              <w:top w:w="90" w:type="dxa"/>
              <w:start w:w="90" w:type="dxa"/>
              <w:bottom w:w="90" w:type="dxa"/>
              <w:end w:w="90" w:type="dxa"/>
            </w:tcMar>
            <w:vAlign w:val="top"/>
          </w:tcPr>
          <w:p>
            <w:r>
              <w:rPr>
                <w:sz w:val="17"/>
              </w:rPr>
              <w:t>Imputation à une ou plusieurs échéances avec solde résiduel.</w:t>
            </w:r>
          </w:p>
        </w:tc>
      </w:tr>
      <w:tr>
        <w:tc>
          <w:tcPr>
            <w:tcW w:type="dxa" w:w="2232"/>
            <w:tcMar>
              <w:top w:w="90" w:type="dxa"/>
              <w:start w:w="90" w:type="dxa"/>
              <w:bottom w:w="90" w:type="dxa"/>
              <w:end w:w="90" w:type="dxa"/>
            </w:tcMar>
            <w:vAlign w:val="top"/>
          </w:tcPr>
          <w:p>
            <w:r>
              <w:rPr>
                <w:sz w:val="17"/>
              </w:rPr>
              <w:t>Paiement tiers</w:t>
            </w:r>
          </w:p>
        </w:tc>
        <w:tc>
          <w:tcPr>
            <w:tcW w:type="dxa" w:w="7416"/>
            <w:tcMar>
              <w:top w:w="90" w:type="dxa"/>
              <w:start w:w="90" w:type="dxa"/>
              <w:bottom w:w="90" w:type="dxa"/>
              <w:end w:w="90" w:type="dxa"/>
            </w:tcMar>
            <w:vAlign w:val="top"/>
          </w:tcPr>
          <w:p>
            <w:r>
              <w:rPr>
                <w:sz w:val="17"/>
              </w:rPr>
              <w:t>Payeur différent du membre, identité et justification obligatoires.</w:t>
            </w:r>
          </w:p>
        </w:tc>
      </w:tr>
    </w:tbl>
    <w:p>
      <w:pPr>
        <w:spacing w:after="20"/>
      </w:pPr>
    </w:p>
    <w:p>
      <w:pPr>
        <w:pStyle w:val="Heading2"/>
      </w:pPr>
      <w:r>
        <w:t>9.2 Référence de paiement et souveraineté</w:t>
      </w:r>
    </w:p>
    <w:tbl>
      <w:tblPr>
        <w:tblW w:type="auto" w:w="0"/>
        <w:jc w:val="center"/>
        <w:tblLayout w:type="fixed"/>
        <w:tblLook w:firstColumn="1" w:firstRow="1" w:lastColumn="0" w:lastRow="0" w:noHBand="0" w:noVBand="1" w:val="04A0"/>
        <w:tblBorders>
          <w:top w:val="nil" w:sz="0" w:space="0" w:color="FFFFFF"/>
          <w:start w:val="nil" w:sz="0" w:space="0" w:color="FFFFFF"/>
          <w:bottom w:val="nil" w:sz="0" w:space="0" w:color="FFFFFF"/>
          <w:end w:val="nil" w:sz="0" w:space="0" w:color="FFFFFF"/>
          <w:insideH w:val="nil" w:sz="0" w:space="0" w:color="FFFFFF"/>
          <w:insideV w:val="nil" w:sz="0" w:space="0" w:color="FFFFFF"/>
        </w:tblBorders>
      </w:tblPr>
      <w:tblGrid>
        <w:gridCol w:w="144"/>
        <w:gridCol w:w="9144"/>
      </w:tblGrid>
      <w:tr>
        <w:tc>
          <w:tcPr>
            <w:tcW w:type="dxa" w:w="5083"/>
          </w:tcPr>
          <w:p/>
        </w:tc>
        <w:tc>
          <w:tcPr>
            <w:tcW w:type="dxa" w:w="5083"/>
            <w:tcMar>
              <w:top w:w="130" w:type="dxa"/>
              <w:start w:w="150" w:type="dxa"/>
              <w:bottom w:w="130" w:type="dxa"/>
              <w:end w:w="150" w:type="dxa"/>
            </w:tcMar>
          </w:tcPr>
          <w:p>
            <w:r>
              <w:rPr>
                <w:b/>
                <w:color w:val="E30B1F"/>
                <w:sz w:val="20"/>
              </w:rPr>
              <w:t>Contrôle CNPM</w:t>
            </w:r>
          </w:p>
          <w:p>
            <w:pPr>
              <w:spacing w:after="0"/>
            </w:pPr>
            <w:r>
              <w:t>Toute référence bancaire, Mobile Money ou instruction de paiement destinée aux membres doit provenir d’un paramétrage validé par le CNPM. Une modification de coordonnées bancaires déclenche une validation renforcée et une alerte de sécurité.</w:t>
            </w:r>
          </w:p>
        </w:tc>
      </w:tr>
    </w:tbl>
    <w:p>
      <w:pPr>
        <w:spacing w:after="20"/>
      </w:pPr>
    </w:p>
    <w:p>
      <w:pPr>
        <w:pStyle w:val="Heading2"/>
      </w:pPr>
      <w:r>
        <w:t>9.3 Rapprochement</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PAY-001</w:t>
            </w:r>
          </w:p>
        </w:tc>
        <w:tc>
          <w:tcPr>
            <w:tcW w:type="dxa" w:w="4680"/>
            <w:tcMar>
              <w:top w:w="90" w:type="dxa"/>
              <w:start w:w="90" w:type="dxa"/>
              <w:bottom w:w="90" w:type="dxa"/>
              <w:end w:w="90" w:type="dxa"/>
            </w:tcMar>
            <w:vAlign w:val="top"/>
          </w:tcPr>
          <w:p>
            <w:r>
              <w:rPr>
                <w:sz w:val="16"/>
              </w:rPr>
              <w:t>Générer une référence de paiement unique et non prédictible.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La référence permet d’identifier membre, appel et canal sans exposer d’information sensible.</w:t>
            </w:r>
          </w:p>
        </w:tc>
      </w:tr>
      <w:tr>
        <w:tc>
          <w:tcPr>
            <w:tcW w:type="dxa" w:w="1037"/>
            <w:tcMar>
              <w:top w:w="90" w:type="dxa"/>
              <w:start w:w="90" w:type="dxa"/>
              <w:bottom w:w="90" w:type="dxa"/>
              <w:end w:w="90" w:type="dxa"/>
            </w:tcMar>
            <w:vAlign w:val="top"/>
          </w:tcPr>
          <w:p>
            <w:r>
              <w:rPr>
                <w:sz w:val="16"/>
              </w:rPr>
              <w:t>PAY-002</w:t>
            </w:r>
          </w:p>
        </w:tc>
        <w:tc>
          <w:tcPr>
            <w:tcW w:type="dxa" w:w="4680"/>
            <w:tcMar>
              <w:top w:w="90" w:type="dxa"/>
              <w:start w:w="90" w:type="dxa"/>
              <w:bottom w:w="90" w:type="dxa"/>
              <w:end w:w="90" w:type="dxa"/>
            </w:tcMar>
            <w:vAlign w:val="top"/>
          </w:tcPr>
          <w:p>
            <w:r>
              <w:rPr>
                <w:sz w:val="16"/>
              </w:rPr>
              <w:t>Recevoir les statuts des opérateurs via API sécurisée.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Chaque callback est authentifié, idempotent et journalisé.</w:t>
            </w:r>
          </w:p>
        </w:tc>
      </w:tr>
      <w:tr>
        <w:tc>
          <w:tcPr>
            <w:tcW w:type="dxa" w:w="1037"/>
            <w:tcMar>
              <w:top w:w="90" w:type="dxa"/>
              <w:start w:w="90" w:type="dxa"/>
              <w:bottom w:w="90" w:type="dxa"/>
              <w:end w:w="90" w:type="dxa"/>
            </w:tcMar>
            <w:vAlign w:val="top"/>
          </w:tcPr>
          <w:p>
            <w:r>
              <w:rPr>
                <w:sz w:val="16"/>
              </w:rPr>
              <w:t>PAY-003</w:t>
            </w:r>
          </w:p>
        </w:tc>
        <w:tc>
          <w:tcPr>
            <w:tcW w:type="dxa" w:w="4680"/>
            <w:tcMar>
              <w:top w:w="90" w:type="dxa"/>
              <w:start w:w="90" w:type="dxa"/>
              <w:bottom w:w="90" w:type="dxa"/>
              <w:end w:w="90" w:type="dxa"/>
            </w:tcMar>
            <w:vAlign w:val="top"/>
          </w:tcPr>
          <w:p>
            <w:r>
              <w:rPr>
                <w:sz w:val="16"/>
              </w:rPr>
              <w:t>Importer les relevés bancaires en formats configurables.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système détecte doublons, incohérences et lignes non imputées.</w:t>
            </w:r>
          </w:p>
        </w:tc>
      </w:tr>
      <w:tr>
        <w:tc>
          <w:tcPr>
            <w:tcW w:type="dxa" w:w="1037"/>
            <w:tcMar>
              <w:top w:w="90" w:type="dxa"/>
              <w:start w:w="90" w:type="dxa"/>
              <w:bottom w:w="90" w:type="dxa"/>
              <w:end w:w="90" w:type="dxa"/>
            </w:tcMar>
            <w:vAlign w:val="top"/>
          </w:tcPr>
          <w:p>
            <w:r>
              <w:rPr>
                <w:sz w:val="16"/>
              </w:rPr>
              <w:t>PAY-004</w:t>
            </w:r>
          </w:p>
        </w:tc>
        <w:tc>
          <w:tcPr>
            <w:tcW w:type="dxa" w:w="4680"/>
            <w:tcMar>
              <w:top w:w="90" w:type="dxa"/>
              <w:start w:w="90" w:type="dxa"/>
              <w:bottom w:w="90" w:type="dxa"/>
              <w:end w:w="90" w:type="dxa"/>
            </w:tcMar>
            <w:vAlign w:val="top"/>
          </w:tcPr>
          <w:p>
            <w:r>
              <w:rPr>
                <w:sz w:val="16"/>
              </w:rPr>
              <w:t>Rapprocher automatiquement par référence, montant, date et payeur.</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Un score explique la proposition; le seuil est paramétrable.</w:t>
            </w:r>
          </w:p>
        </w:tc>
      </w:tr>
      <w:tr>
        <w:tc>
          <w:tcPr>
            <w:tcW w:type="dxa" w:w="1037"/>
            <w:tcMar>
              <w:top w:w="90" w:type="dxa"/>
              <w:start w:w="90" w:type="dxa"/>
              <w:bottom w:w="90" w:type="dxa"/>
              <w:end w:w="90" w:type="dxa"/>
            </w:tcMar>
            <w:vAlign w:val="top"/>
          </w:tcPr>
          <w:p>
            <w:r>
              <w:rPr>
                <w:sz w:val="16"/>
              </w:rPr>
              <w:t>PAY-005</w:t>
            </w:r>
          </w:p>
        </w:tc>
        <w:tc>
          <w:tcPr>
            <w:tcW w:type="dxa" w:w="4680"/>
            <w:tcMar>
              <w:top w:w="90" w:type="dxa"/>
              <w:start w:w="90" w:type="dxa"/>
              <w:bottom w:w="90" w:type="dxa"/>
              <w:end w:w="90" w:type="dxa"/>
            </w:tcMar>
            <w:vAlign w:val="top"/>
          </w:tcPr>
          <w:p>
            <w:r>
              <w:rPr>
                <w:sz w:val="16"/>
              </w:rPr>
              <w:t>Présenter une file de rapprochement manuel.</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L’agent voit preuve, candidat, écarts et historique avant décision.</w:t>
            </w:r>
          </w:p>
        </w:tc>
      </w:tr>
      <w:tr>
        <w:tc>
          <w:tcPr>
            <w:tcW w:type="dxa" w:w="1037"/>
            <w:tcMar>
              <w:top w:w="90" w:type="dxa"/>
              <w:start w:w="90" w:type="dxa"/>
              <w:bottom w:w="90" w:type="dxa"/>
              <w:end w:w="90" w:type="dxa"/>
            </w:tcMar>
            <w:vAlign w:val="top"/>
          </w:tcPr>
          <w:p>
            <w:r>
              <w:rPr>
                <w:sz w:val="16"/>
              </w:rPr>
              <w:t>PAY-006</w:t>
            </w:r>
          </w:p>
        </w:tc>
        <w:tc>
          <w:tcPr>
            <w:tcW w:type="dxa" w:w="4680"/>
            <w:tcMar>
              <w:top w:w="90" w:type="dxa"/>
              <w:start w:w="90" w:type="dxa"/>
              <w:bottom w:w="90" w:type="dxa"/>
              <w:end w:w="90" w:type="dxa"/>
            </w:tcMar>
            <w:vAlign w:val="top"/>
          </w:tcPr>
          <w:p>
            <w:r>
              <w:rPr>
                <w:sz w:val="16"/>
              </w:rPr>
              <w:t>Gérer trop-perçus, sous-paiements, remboursements et rejets.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Chaque cas suit un workflow comptable et laisse une piste d’audit.</w:t>
            </w:r>
          </w:p>
        </w:tc>
      </w:tr>
      <w:tr>
        <w:tc>
          <w:tcPr>
            <w:tcW w:type="dxa" w:w="1037"/>
            <w:tcMar>
              <w:top w:w="90" w:type="dxa"/>
              <w:start w:w="90" w:type="dxa"/>
              <w:bottom w:w="90" w:type="dxa"/>
              <w:end w:w="90" w:type="dxa"/>
            </w:tcMar>
            <w:vAlign w:val="top"/>
          </w:tcPr>
          <w:p>
            <w:r>
              <w:rPr>
                <w:sz w:val="16"/>
              </w:rPr>
              <w:t>PAY-007</w:t>
            </w:r>
          </w:p>
        </w:tc>
        <w:tc>
          <w:tcPr>
            <w:tcW w:type="dxa" w:w="4680"/>
            <w:tcMar>
              <w:top w:w="90" w:type="dxa"/>
              <w:start w:w="90" w:type="dxa"/>
              <w:bottom w:w="90" w:type="dxa"/>
              <w:end w:w="90" w:type="dxa"/>
            </w:tcMar>
            <w:vAlign w:val="top"/>
          </w:tcPr>
          <w:p>
            <w:r>
              <w:rPr>
                <w:sz w:val="16"/>
              </w:rPr>
              <w:t>Empêcher la double confirmation d’une transaction.</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Les clés d’idempotence et contrôles d’unicité bloquent le doublon.</w:t>
            </w:r>
          </w:p>
        </w:tc>
      </w:tr>
      <w:tr>
        <w:tc>
          <w:tcPr>
            <w:tcW w:type="dxa" w:w="1037"/>
            <w:tcMar>
              <w:top w:w="90" w:type="dxa"/>
              <w:start w:w="90" w:type="dxa"/>
              <w:bottom w:w="90" w:type="dxa"/>
              <w:end w:w="90" w:type="dxa"/>
            </w:tcMar>
            <w:vAlign w:val="top"/>
          </w:tcPr>
          <w:p>
            <w:r>
              <w:rPr>
                <w:sz w:val="16"/>
              </w:rPr>
              <w:t>PAY-008</w:t>
            </w:r>
          </w:p>
        </w:tc>
        <w:tc>
          <w:tcPr>
            <w:tcW w:type="dxa" w:w="4680"/>
            <w:tcMar>
              <w:top w:w="90" w:type="dxa"/>
              <w:start w:w="90" w:type="dxa"/>
              <w:bottom w:w="90" w:type="dxa"/>
              <w:end w:w="90" w:type="dxa"/>
            </w:tcMar>
            <w:vAlign w:val="top"/>
          </w:tcPr>
          <w:p>
            <w:r>
              <w:rPr>
                <w:sz w:val="16"/>
              </w:rPr>
              <w:t>Alerter sur les anomalies et paiements suspects.</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Règles : montant inhabituel, canal incohérent, répétition, modification de compte.</w:t>
            </w:r>
          </w:p>
        </w:tc>
      </w:tr>
    </w:tbl>
    <w:p>
      <w:pPr>
        <w:spacing w:after="20"/>
      </w:pPr>
    </w:p>
    <w:p>
      <w:pPr>
        <w:pStyle w:val="Heading2"/>
      </w:pPr>
      <w:r>
        <w:t>9.4 Reçus officiels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REC-001</w:t>
            </w:r>
          </w:p>
        </w:tc>
        <w:tc>
          <w:tcPr>
            <w:tcW w:type="dxa" w:w="4680"/>
            <w:tcMar>
              <w:top w:w="90" w:type="dxa"/>
              <w:start w:w="90" w:type="dxa"/>
              <w:bottom w:w="90" w:type="dxa"/>
              <w:end w:w="90" w:type="dxa"/>
            </w:tcMar>
            <w:vAlign w:val="top"/>
          </w:tcPr>
          <w:p>
            <w:r>
              <w:rPr>
                <w:sz w:val="16"/>
              </w:rPr>
              <w:t>Émettre un reçu uniquement après confirmation CNPM.</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Aucun reçu officiel ne peut être produit sur paiement non confirmé.</w:t>
            </w:r>
          </w:p>
        </w:tc>
      </w:tr>
      <w:tr>
        <w:tc>
          <w:tcPr>
            <w:tcW w:type="dxa" w:w="1037"/>
            <w:tcMar>
              <w:top w:w="90" w:type="dxa"/>
              <w:start w:w="90" w:type="dxa"/>
              <w:bottom w:w="90" w:type="dxa"/>
              <w:end w:w="90" w:type="dxa"/>
            </w:tcMar>
            <w:vAlign w:val="top"/>
          </w:tcPr>
          <w:p>
            <w:r>
              <w:rPr>
                <w:sz w:val="16"/>
              </w:rPr>
              <w:t>REC-002</w:t>
            </w:r>
          </w:p>
        </w:tc>
        <w:tc>
          <w:tcPr>
            <w:tcW w:type="dxa" w:w="4680"/>
            <w:tcMar>
              <w:top w:w="90" w:type="dxa"/>
              <w:start w:w="90" w:type="dxa"/>
              <w:bottom w:w="90" w:type="dxa"/>
              <w:end w:w="90" w:type="dxa"/>
            </w:tcMar>
            <w:vAlign w:val="top"/>
          </w:tcPr>
          <w:p>
            <w:r>
              <w:rPr>
                <w:sz w:val="16"/>
              </w:rPr>
              <w:t>Inclure numéro unique, membre, montant, période, canal, date et signature.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PDF contient toutes les mentions obligatoires et le logo CNPM.</w:t>
            </w:r>
          </w:p>
        </w:tc>
      </w:tr>
      <w:tr>
        <w:tc>
          <w:tcPr>
            <w:tcW w:type="dxa" w:w="1037"/>
            <w:tcMar>
              <w:top w:w="90" w:type="dxa"/>
              <w:start w:w="90" w:type="dxa"/>
              <w:bottom w:w="90" w:type="dxa"/>
              <w:end w:w="90" w:type="dxa"/>
            </w:tcMar>
            <w:vAlign w:val="top"/>
          </w:tcPr>
          <w:p>
            <w:r>
              <w:rPr>
                <w:sz w:val="16"/>
              </w:rPr>
              <w:t>REC-003</w:t>
            </w:r>
          </w:p>
        </w:tc>
        <w:tc>
          <w:tcPr>
            <w:tcW w:type="dxa" w:w="4680"/>
            <w:tcMar>
              <w:top w:w="90" w:type="dxa"/>
              <w:start w:w="90" w:type="dxa"/>
              <w:bottom w:w="90" w:type="dxa"/>
              <w:end w:w="90" w:type="dxa"/>
            </w:tcMar>
            <w:vAlign w:val="top"/>
          </w:tcPr>
          <w:p>
            <w:r>
              <w:rPr>
                <w:sz w:val="16"/>
              </w:rPr>
              <w:t>Signer électroniquement et apposer un QR de vérification.</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Le QR valide l’authenticité sans exposer de données confidentielles.</w:t>
            </w:r>
          </w:p>
        </w:tc>
      </w:tr>
      <w:tr>
        <w:tc>
          <w:tcPr>
            <w:tcW w:type="dxa" w:w="1037"/>
            <w:tcMar>
              <w:top w:w="90" w:type="dxa"/>
              <w:start w:w="90" w:type="dxa"/>
              <w:bottom w:w="90" w:type="dxa"/>
              <w:end w:w="90" w:type="dxa"/>
            </w:tcMar>
            <w:vAlign w:val="top"/>
          </w:tcPr>
          <w:p>
            <w:r>
              <w:rPr>
                <w:sz w:val="16"/>
              </w:rPr>
              <w:t>REC-004</w:t>
            </w:r>
          </w:p>
        </w:tc>
        <w:tc>
          <w:tcPr>
            <w:tcW w:type="dxa" w:w="4680"/>
            <w:tcMar>
              <w:top w:w="90" w:type="dxa"/>
              <w:start w:w="90" w:type="dxa"/>
              <w:bottom w:w="90" w:type="dxa"/>
              <w:end w:w="90" w:type="dxa"/>
            </w:tcMar>
            <w:vAlign w:val="top"/>
          </w:tcPr>
          <w:p>
            <w:r>
              <w:rPr>
                <w:sz w:val="16"/>
              </w:rPr>
              <w:t>Notifier le membre par portail, e-mail, SMS et/ou push.</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statut de livraison est conservé.</w:t>
            </w:r>
          </w:p>
        </w:tc>
      </w:tr>
      <w:tr>
        <w:tc>
          <w:tcPr>
            <w:tcW w:type="dxa" w:w="1037"/>
            <w:tcMar>
              <w:top w:w="90" w:type="dxa"/>
              <w:start w:w="90" w:type="dxa"/>
              <w:bottom w:w="90" w:type="dxa"/>
              <w:end w:w="90" w:type="dxa"/>
            </w:tcMar>
            <w:vAlign w:val="top"/>
          </w:tcPr>
          <w:p>
            <w:r>
              <w:rPr>
                <w:sz w:val="16"/>
              </w:rPr>
              <w:t>REC-005</w:t>
            </w:r>
          </w:p>
        </w:tc>
        <w:tc>
          <w:tcPr>
            <w:tcW w:type="dxa" w:w="4680"/>
            <w:tcMar>
              <w:top w:w="90" w:type="dxa"/>
              <w:start w:w="90" w:type="dxa"/>
              <w:bottom w:w="90" w:type="dxa"/>
              <w:end w:w="90" w:type="dxa"/>
            </w:tcMar>
            <w:vAlign w:val="top"/>
          </w:tcPr>
          <w:p>
            <w:r>
              <w:rPr>
                <w:sz w:val="16"/>
              </w:rPr>
              <w:t>Annuler/remplacer un reçu via workflow contrôlé.</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reçu annulé reste archivé et la version de remplacement le référence.</w:t>
            </w:r>
          </w:p>
        </w:tc>
      </w:tr>
      <w:tr>
        <w:tc>
          <w:tcPr>
            <w:tcW w:type="dxa" w:w="1037"/>
            <w:tcMar>
              <w:top w:w="90" w:type="dxa"/>
              <w:start w:w="90" w:type="dxa"/>
              <w:bottom w:w="90" w:type="dxa"/>
              <w:end w:w="90" w:type="dxa"/>
            </w:tcMar>
            <w:vAlign w:val="top"/>
          </w:tcPr>
          <w:p>
            <w:r>
              <w:rPr>
                <w:sz w:val="16"/>
              </w:rPr>
              <w:t>REC-006</w:t>
            </w:r>
          </w:p>
        </w:tc>
        <w:tc>
          <w:tcPr>
            <w:tcW w:type="dxa" w:w="4680"/>
            <w:tcMar>
              <w:top w:w="90" w:type="dxa"/>
              <w:start w:w="90" w:type="dxa"/>
              <w:bottom w:w="90" w:type="dxa"/>
              <w:end w:w="90" w:type="dxa"/>
            </w:tcMar>
            <w:vAlign w:val="top"/>
          </w:tcPr>
          <w:p>
            <w:r>
              <w:rPr>
                <w:sz w:val="16"/>
              </w:rPr>
              <w:t>Permettre la vérification publique limitée d’un reçu.</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La page confirme authenticité, statut et montant sans données excessives.</w:t>
            </w:r>
          </w:p>
        </w:tc>
      </w:tr>
    </w:tbl>
    <w:p>
      <w:pPr>
        <w:spacing w:after="20"/>
      </w:pPr>
    </w:p>
    <w:p>
      <w:pPr>
        <w:pStyle w:val="Heading1"/>
      </w:pPr>
      <w:r>
        <w:t>10. Recouvrement, relances et campagnes</w:t>
      </w:r>
    </w:p>
    <w:p>
      <w:pPr>
        <w:pStyle w:val="Heading2"/>
      </w:pPr>
      <w:r>
        <w:t>10.1 Plan de recouvrement</w:t>
      </w:r>
    </w:p>
    <w:p>
      <w:r>
        <w:t>Le module organise les actions selon priorité, potentiel de récupération, ancienneté, importance stratégique et disponibilité des contacts. Il doit permettre une approche différente pour les grands cotisants, actifs, dormants et nouveaux prospects.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23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Segment</w:t>
            </w:r>
          </w:p>
        </w:tc>
        <w:tc>
          <w:tcPr>
            <w:tcW w:type="dxa" w:w="7416"/>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Stratégie</w:t>
            </w:r>
          </w:p>
        </w:tc>
      </w:tr>
      <w:tr>
        <w:tc>
          <w:tcPr>
            <w:tcW w:type="dxa" w:w="2232"/>
            <w:tcMar>
              <w:top w:w="90" w:type="dxa"/>
              <w:start w:w="90" w:type="dxa"/>
              <w:bottom w:w="90" w:type="dxa"/>
              <w:end w:w="90" w:type="dxa"/>
            </w:tcMar>
            <w:vAlign w:val="top"/>
          </w:tcPr>
          <w:p>
            <w:r>
              <w:rPr>
                <w:sz w:val="17"/>
              </w:rPr>
              <w:t>Grands cotisants</w:t>
            </w:r>
          </w:p>
        </w:tc>
        <w:tc>
          <w:tcPr>
            <w:tcW w:type="dxa" w:w="7416"/>
            <w:tcMar>
              <w:top w:w="90" w:type="dxa"/>
              <w:start w:w="90" w:type="dxa"/>
              <w:bottom w:w="90" w:type="dxa"/>
              <w:end w:w="90" w:type="dxa"/>
            </w:tcMar>
            <w:vAlign w:val="top"/>
          </w:tcPr>
          <w:p>
            <w:r>
              <w:rPr>
                <w:sz w:val="17"/>
              </w:rPr>
              <w:t>Responsable dédié, validation des messages, rendez-vous, suivi renforcé, escalade DG.</w:t>
            </w:r>
          </w:p>
        </w:tc>
      </w:tr>
      <w:tr>
        <w:tc>
          <w:tcPr>
            <w:tcW w:type="dxa" w:w="2232"/>
            <w:tcMar>
              <w:top w:w="90" w:type="dxa"/>
              <w:start w:w="90" w:type="dxa"/>
              <w:bottom w:w="90" w:type="dxa"/>
              <w:end w:w="90" w:type="dxa"/>
            </w:tcMar>
            <w:vAlign w:val="top"/>
          </w:tcPr>
          <w:p>
            <w:r>
              <w:rPr>
                <w:sz w:val="17"/>
              </w:rPr>
              <w:t>Actifs réguliers</w:t>
            </w:r>
          </w:p>
        </w:tc>
        <w:tc>
          <w:tcPr>
            <w:tcW w:type="dxa" w:w="7416"/>
            <w:tcMar>
              <w:top w:w="90" w:type="dxa"/>
              <w:start w:w="90" w:type="dxa"/>
              <w:bottom w:w="90" w:type="dxa"/>
              <w:end w:w="90" w:type="dxa"/>
            </w:tcMar>
            <w:vAlign w:val="top"/>
          </w:tcPr>
          <w:p>
            <w:r>
              <w:rPr>
                <w:sz w:val="17"/>
              </w:rPr>
              <w:t>Rappel préventif, paiement rapide, fidélisation, renouvellement automatique.</w:t>
            </w:r>
          </w:p>
        </w:tc>
      </w:tr>
      <w:tr>
        <w:tc>
          <w:tcPr>
            <w:tcW w:type="dxa" w:w="2232"/>
            <w:tcMar>
              <w:top w:w="90" w:type="dxa"/>
              <w:start w:w="90" w:type="dxa"/>
              <w:bottom w:w="90" w:type="dxa"/>
              <w:end w:w="90" w:type="dxa"/>
            </w:tcMar>
            <w:vAlign w:val="top"/>
          </w:tcPr>
          <w:p>
            <w:r>
              <w:rPr>
                <w:sz w:val="17"/>
              </w:rPr>
              <w:t>Actifs en retard</w:t>
            </w:r>
          </w:p>
        </w:tc>
        <w:tc>
          <w:tcPr>
            <w:tcW w:type="dxa" w:w="7416"/>
            <w:tcMar>
              <w:top w:w="90" w:type="dxa"/>
              <w:start w:w="90" w:type="dxa"/>
              <w:bottom w:w="90" w:type="dxa"/>
              <w:end w:w="90" w:type="dxa"/>
            </w:tcMar>
            <w:vAlign w:val="top"/>
          </w:tcPr>
          <w:p>
            <w:r>
              <w:rPr>
                <w:sz w:val="17"/>
              </w:rPr>
              <w:t>Séquence progressive, promesse de paiement, échéancier, escalade.</w:t>
            </w:r>
          </w:p>
        </w:tc>
      </w:tr>
      <w:tr>
        <w:tc>
          <w:tcPr>
            <w:tcW w:type="dxa" w:w="2232"/>
            <w:tcMar>
              <w:top w:w="90" w:type="dxa"/>
              <w:start w:w="90" w:type="dxa"/>
              <w:bottom w:w="90" w:type="dxa"/>
              <w:end w:w="90" w:type="dxa"/>
            </w:tcMar>
            <w:vAlign w:val="top"/>
          </w:tcPr>
          <w:p>
            <w:r>
              <w:rPr>
                <w:sz w:val="17"/>
              </w:rPr>
              <w:t>Dormants</w:t>
            </w:r>
          </w:p>
        </w:tc>
        <w:tc>
          <w:tcPr>
            <w:tcW w:type="dxa" w:w="7416"/>
            <w:tcMar>
              <w:top w:w="90" w:type="dxa"/>
              <w:start w:w="90" w:type="dxa"/>
              <w:bottom w:w="90" w:type="dxa"/>
              <w:end w:w="90" w:type="dxa"/>
            </w:tcMar>
            <w:vAlign w:val="top"/>
          </w:tcPr>
          <w:p>
            <w:r>
              <w:rPr>
                <w:sz w:val="17"/>
              </w:rPr>
              <w:t>Campagne de réactivation, diagnostic de départ, offre de régularisation, suivi dédié.</w:t>
            </w:r>
          </w:p>
        </w:tc>
      </w:tr>
      <w:tr>
        <w:tc>
          <w:tcPr>
            <w:tcW w:type="dxa" w:w="2232"/>
            <w:tcMar>
              <w:top w:w="90" w:type="dxa"/>
              <w:start w:w="90" w:type="dxa"/>
              <w:bottom w:w="90" w:type="dxa"/>
              <w:end w:w="90" w:type="dxa"/>
            </w:tcMar>
            <w:vAlign w:val="top"/>
          </w:tcPr>
          <w:p>
            <w:r>
              <w:rPr>
                <w:sz w:val="17"/>
              </w:rPr>
              <w:t>Prospects</w:t>
            </w:r>
          </w:p>
        </w:tc>
        <w:tc>
          <w:tcPr>
            <w:tcW w:type="dxa" w:w="7416"/>
            <w:tcMar>
              <w:top w:w="90" w:type="dxa"/>
              <w:start w:w="90" w:type="dxa"/>
              <w:bottom w:w="90" w:type="dxa"/>
              <w:end w:w="90" w:type="dxa"/>
            </w:tcMar>
            <w:vAlign w:val="top"/>
          </w:tcPr>
          <w:p>
            <w:r>
              <w:rPr>
                <w:sz w:val="17"/>
              </w:rPr>
              <w:t>Argumentaire valeur CNPM, invitation, adhésion guidée, relance d’abandon.</w:t>
            </w:r>
          </w:p>
        </w:tc>
      </w:tr>
      <w:tr>
        <w:tc>
          <w:tcPr>
            <w:tcW w:type="dxa" w:w="2232"/>
            <w:tcMar>
              <w:top w:w="90" w:type="dxa"/>
              <w:start w:w="90" w:type="dxa"/>
              <w:bottom w:w="90" w:type="dxa"/>
              <w:end w:w="90" w:type="dxa"/>
            </w:tcMar>
            <w:vAlign w:val="top"/>
          </w:tcPr>
          <w:p>
            <w:r>
              <w:rPr>
                <w:sz w:val="17"/>
              </w:rPr>
              <w:t>Risque élevé</w:t>
            </w:r>
          </w:p>
        </w:tc>
        <w:tc>
          <w:tcPr>
            <w:tcW w:type="dxa" w:w="7416"/>
            <w:tcMar>
              <w:top w:w="90" w:type="dxa"/>
              <w:start w:w="90" w:type="dxa"/>
              <w:bottom w:w="90" w:type="dxa"/>
              <w:end w:w="90" w:type="dxa"/>
            </w:tcMar>
            <w:vAlign w:val="top"/>
          </w:tcPr>
          <w:p>
            <w:r>
              <w:rPr>
                <w:sz w:val="17"/>
              </w:rPr>
              <w:t>Validation humaine avant contact, surveillance rapprochée, traitement des litiges.</w:t>
            </w:r>
          </w:p>
        </w:tc>
      </w:tr>
    </w:tbl>
    <w:p>
      <w:pPr>
        <w:spacing w:after="20"/>
      </w:pPr>
    </w:p>
    <w:p>
      <w:pPr>
        <w:pStyle w:val="Heading2"/>
      </w:pPr>
      <w:r>
        <w:t>10.2 Scénarios de relance</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REL-001</w:t>
            </w:r>
          </w:p>
        </w:tc>
        <w:tc>
          <w:tcPr>
            <w:tcW w:type="dxa" w:w="4680"/>
            <w:tcMar>
              <w:top w:w="90" w:type="dxa"/>
              <w:start w:w="90" w:type="dxa"/>
              <w:bottom w:w="90" w:type="dxa"/>
              <w:end w:w="90" w:type="dxa"/>
            </w:tcMar>
            <w:vAlign w:val="top"/>
          </w:tcPr>
          <w:p>
            <w:r>
              <w:rPr>
                <w:sz w:val="16"/>
              </w:rPr>
              <w:t>Configurer des séquences par événement, délai, canal et segment.</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Exemple : J-15 e-mail, J-7 SMS, J+3 appel, J+15 courrier.</w:t>
            </w:r>
          </w:p>
        </w:tc>
      </w:tr>
      <w:tr>
        <w:tc>
          <w:tcPr>
            <w:tcW w:type="dxa" w:w="1037"/>
            <w:tcMar>
              <w:top w:w="90" w:type="dxa"/>
              <w:start w:w="90" w:type="dxa"/>
              <w:bottom w:w="90" w:type="dxa"/>
              <w:end w:w="90" w:type="dxa"/>
            </w:tcMar>
            <w:vAlign w:val="top"/>
          </w:tcPr>
          <w:p>
            <w:r>
              <w:rPr>
                <w:sz w:val="16"/>
              </w:rPr>
              <w:t>REL-002</w:t>
            </w:r>
          </w:p>
        </w:tc>
        <w:tc>
          <w:tcPr>
            <w:tcW w:type="dxa" w:w="4680"/>
            <w:tcMar>
              <w:top w:w="90" w:type="dxa"/>
              <w:start w:w="90" w:type="dxa"/>
              <w:bottom w:w="90" w:type="dxa"/>
              <w:end w:w="90" w:type="dxa"/>
            </w:tcMar>
            <w:vAlign w:val="top"/>
          </w:tcPr>
          <w:p>
            <w:r>
              <w:rPr>
                <w:sz w:val="16"/>
              </w:rPr>
              <w:t>Personnaliser les messages avec données membre et solde.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Les modèles affichent un aperçu avant envoi.</w:t>
            </w:r>
          </w:p>
        </w:tc>
      </w:tr>
      <w:tr>
        <w:tc>
          <w:tcPr>
            <w:tcW w:type="dxa" w:w="1037"/>
            <w:tcMar>
              <w:top w:w="90" w:type="dxa"/>
              <w:start w:w="90" w:type="dxa"/>
              <w:bottom w:w="90" w:type="dxa"/>
              <w:end w:w="90" w:type="dxa"/>
            </w:tcMar>
            <w:vAlign w:val="top"/>
          </w:tcPr>
          <w:p>
            <w:r>
              <w:rPr>
                <w:sz w:val="16"/>
              </w:rPr>
              <w:t>REL-003</w:t>
            </w:r>
          </w:p>
        </w:tc>
        <w:tc>
          <w:tcPr>
            <w:tcW w:type="dxa" w:w="4680"/>
            <w:tcMar>
              <w:top w:w="90" w:type="dxa"/>
              <w:start w:w="90" w:type="dxa"/>
              <w:bottom w:w="90" w:type="dxa"/>
              <w:end w:w="90" w:type="dxa"/>
            </w:tcMar>
            <w:vAlign w:val="top"/>
          </w:tcPr>
          <w:p>
            <w:r>
              <w:rPr>
                <w:sz w:val="16"/>
              </w:rPr>
              <w:t>Gérer les consentements et préférences de communication.</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canal non autorisé n’est jamais utilisé, sauf obligation légale.</w:t>
            </w:r>
          </w:p>
        </w:tc>
      </w:tr>
      <w:tr>
        <w:tc>
          <w:tcPr>
            <w:tcW w:type="dxa" w:w="1037"/>
            <w:tcMar>
              <w:top w:w="90" w:type="dxa"/>
              <w:start w:w="90" w:type="dxa"/>
              <w:bottom w:w="90" w:type="dxa"/>
              <w:end w:w="90" w:type="dxa"/>
            </w:tcMar>
            <w:vAlign w:val="top"/>
          </w:tcPr>
          <w:p>
            <w:r>
              <w:rPr>
                <w:sz w:val="16"/>
              </w:rPr>
              <w:t>REL-004</w:t>
            </w:r>
          </w:p>
        </w:tc>
        <w:tc>
          <w:tcPr>
            <w:tcW w:type="dxa" w:w="4680"/>
            <w:tcMar>
              <w:top w:w="90" w:type="dxa"/>
              <w:start w:w="90" w:type="dxa"/>
              <w:bottom w:w="90" w:type="dxa"/>
              <w:end w:w="90" w:type="dxa"/>
            </w:tcMar>
            <w:vAlign w:val="top"/>
          </w:tcPr>
          <w:p>
            <w:r>
              <w:rPr>
                <w:sz w:val="16"/>
              </w:rPr>
              <w:t>Suspendre automatiquement les relances en cas de litige ou promesse active.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La suspension est visible et datée.</w:t>
            </w:r>
          </w:p>
        </w:tc>
      </w:tr>
      <w:tr>
        <w:tc>
          <w:tcPr>
            <w:tcW w:type="dxa" w:w="1037"/>
            <w:tcMar>
              <w:top w:w="90" w:type="dxa"/>
              <w:start w:w="90" w:type="dxa"/>
              <w:bottom w:w="90" w:type="dxa"/>
              <w:end w:w="90" w:type="dxa"/>
            </w:tcMar>
            <w:vAlign w:val="top"/>
          </w:tcPr>
          <w:p>
            <w:r>
              <w:rPr>
                <w:sz w:val="16"/>
              </w:rPr>
              <w:t>REL-005</w:t>
            </w:r>
          </w:p>
        </w:tc>
        <w:tc>
          <w:tcPr>
            <w:tcW w:type="dxa" w:w="4680"/>
            <w:tcMar>
              <w:top w:w="90" w:type="dxa"/>
              <w:start w:w="90" w:type="dxa"/>
              <w:bottom w:w="90" w:type="dxa"/>
              <w:end w:w="90" w:type="dxa"/>
            </w:tcMar>
            <w:vAlign w:val="top"/>
          </w:tcPr>
          <w:p>
            <w:r>
              <w:rPr>
                <w:sz w:val="16"/>
              </w:rPr>
              <w:t>Créer et suivre les promesses de paiement.</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Montant, date, commentaire et statut tenu/non tenu sont obligatoires.</w:t>
            </w:r>
          </w:p>
        </w:tc>
      </w:tr>
      <w:tr>
        <w:tc>
          <w:tcPr>
            <w:tcW w:type="dxa" w:w="1037"/>
            <w:tcMar>
              <w:top w:w="90" w:type="dxa"/>
              <w:start w:w="90" w:type="dxa"/>
              <w:bottom w:w="90" w:type="dxa"/>
              <w:end w:w="90" w:type="dxa"/>
            </w:tcMar>
            <w:vAlign w:val="top"/>
          </w:tcPr>
          <w:p>
            <w:r>
              <w:rPr>
                <w:sz w:val="16"/>
              </w:rPr>
              <w:t>REL-006</w:t>
            </w:r>
          </w:p>
        </w:tc>
        <w:tc>
          <w:tcPr>
            <w:tcW w:type="dxa" w:w="4680"/>
            <w:tcMar>
              <w:top w:w="90" w:type="dxa"/>
              <w:start w:w="90" w:type="dxa"/>
              <w:bottom w:w="90" w:type="dxa"/>
              <w:end w:w="90" w:type="dxa"/>
            </w:tcMar>
            <w:vAlign w:val="top"/>
          </w:tcPr>
          <w:p>
            <w:r>
              <w:rPr>
                <w:sz w:val="16"/>
              </w:rPr>
              <w:t>Planifier appels, visites et rendez-vous.</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Les tâches apparaissent dans l’agenda et le portefeuille de l’agent.</w:t>
            </w:r>
          </w:p>
        </w:tc>
      </w:tr>
      <w:tr>
        <w:tc>
          <w:tcPr>
            <w:tcW w:type="dxa" w:w="1037"/>
            <w:tcMar>
              <w:top w:w="90" w:type="dxa"/>
              <w:start w:w="90" w:type="dxa"/>
              <w:bottom w:w="90" w:type="dxa"/>
              <w:end w:w="90" w:type="dxa"/>
            </w:tcMar>
            <w:vAlign w:val="top"/>
          </w:tcPr>
          <w:p>
            <w:r>
              <w:rPr>
                <w:sz w:val="16"/>
              </w:rPr>
              <w:t>REL-007</w:t>
            </w:r>
          </w:p>
        </w:tc>
        <w:tc>
          <w:tcPr>
            <w:tcW w:type="dxa" w:w="4680"/>
            <w:tcMar>
              <w:top w:w="90" w:type="dxa"/>
              <w:start w:w="90" w:type="dxa"/>
              <w:bottom w:w="90" w:type="dxa"/>
              <w:end w:w="90" w:type="dxa"/>
            </w:tcMar>
            <w:vAlign w:val="top"/>
          </w:tcPr>
          <w:p>
            <w:r>
              <w:rPr>
                <w:sz w:val="16"/>
              </w:rPr>
              <w:t>Mesurer performance par campagne, agent, canal et segment.</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Taux de contact, conversion, montant récupéré, coût et délai moyen.</w:t>
            </w:r>
          </w:p>
        </w:tc>
      </w:tr>
      <w:tr>
        <w:tc>
          <w:tcPr>
            <w:tcW w:type="dxa" w:w="1037"/>
            <w:tcMar>
              <w:top w:w="90" w:type="dxa"/>
              <w:start w:w="90" w:type="dxa"/>
              <w:bottom w:w="90" w:type="dxa"/>
              <w:end w:w="90" w:type="dxa"/>
            </w:tcMar>
            <w:vAlign w:val="top"/>
          </w:tcPr>
          <w:p>
            <w:r>
              <w:rPr>
                <w:sz w:val="16"/>
              </w:rPr>
              <w:t>REL-008</w:t>
            </w:r>
          </w:p>
        </w:tc>
        <w:tc>
          <w:tcPr>
            <w:tcW w:type="dxa" w:w="4680"/>
            <w:tcMar>
              <w:top w:w="90" w:type="dxa"/>
              <w:start w:w="90" w:type="dxa"/>
              <w:bottom w:w="90" w:type="dxa"/>
              <w:end w:w="90" w:type="dxa"/>
            </w:tcMar>
            <w:vAlign w:val="top"/>
          </w:tcPr>
          <w:p>
            <w:r>
              <w:rPr>
                <w:sz w:val="16"/>
              </w:rPr>
              <w:t>Proposer une priorisation assistée par score.</w:t>
            </w:r>
          </w:p>
        </w:tc>
        <w:tc>
          <w:tcPr>
            <w:tcW w:type="dxa" w:w="893"/>
            <w:tcMar>
              <w:top w:w="90" w:type="dxa"/>
              <w:start w:w="90" w:type="dxa"/>
              <w:bottom w:w="90" w:type="dxa"/>
              <w:end w:w="90" w:type="dxa"/>
            </w:tcMar>
            <w:vAlign w:val="top"/>
          </w:tcPr>
          <w:p>
            <w:r>
              <w:rPr>
                <w:sz w:val="16"/>
              </w:rPr>
              <w:t>Could</w:t>
            </w:r>
          </w:p>
        </w:tc>
        <w:tc>
          <w:tcPr>
            <w:tcW w:type="dxa" w:w="2952"/>
            <w:tcMar>
              <w:top w:w="90" w:type="dxa"/>
              <w:start w:w="90" w:type="dxa"/>
              <w:bottom w:w="90" w:type="dxa"/>
              <w:end w:w="90" w:type="dxa"/>
            </w:tcMar>
            <w:vAlign w:val="top"/>
          </w:tcPr>
          <w:p>
            <w:r>
              <w:rPr>
                <w:sz w:val="16"/>
              </w:rPr>
              <w:t>Le score est explicable et ne décide pas seul d’une sanction.</w:t>
            </w:r>
          </w:p>
        </w:tc>
      </w:tr>
    </w:tbl>
    <w:p>
      <w:pPr>
        <w:spacing w:after="20"/>
      </w:pPr>
    </w:p>
    <w:p>
      <w:pPr>
        <w:pStyle w:val="Heading2"/>
      </w:pPr>
      <w:r>
        <w:t>10.3 Journal des interactions</w:t>
      </w:r>
    </w:p>
    <w:p>
      <w:pPr>
        <w:pStyle w:val="ListBullet"/>
      </w:pPr>
      <w:r>
        <w:t>Appels entrants/sortants, e-mails, SMS, WhatsApp Business si validé, visites et réunions.</w:t>
      </w:r>
    </w:p>
    <w:p>
      <w:pPr>
        <w:pStyle w:val="ListBullet"/>
      </w:pPr>
      <w:r>
        <w:t>Objet, résultat, prochaine action, pièces, consentement et niveau de confidentialité.</w:t>
      </w:r>
    </w:p>
    <w:p>
      <w:pPr>
        <w:pStyle w:val="ListBullet"/>
      </w:pPr>
      <w:r>
        <w:t>Enregistrement d’appel uniquement si légalement autorisé et avec consentement explicite.</w:t>
      </w:r>
    </w:p>
    <w:p>
      <w:pPr>
        <w:pStyle w:val="ListBullet"/>
      </w:pPr>
      <w:r>
        <w:t>Timeline commune visible selon les habilitations, avec masquage des notes sensibles.</w:t>
      </w:r>
    </w:p>
    <w:p>
      <w:pPr>
        <w:pStyle w:val="Heading1"/>
      </w:pPr>
      <w:r>
        <w:t>11. Portail membre et application mobile</w:t>
      </w:r>
    </w:p>
    <w:p>
      <w:pPr>
        <w:pStyle w:val="Heading2"/>
      </w:pPr>
      <w:r>
        <w:t>11.1 Accueil membre</w:t>
      </w:r>
    </w:p>
    <w:p>
      <w:r>
        <w:t>Le tableau de bord membre doit être immédiatement compréhensible : statut d’adhésion, solde à payer, prochaine échéance, derniers paiements, reçus, requêtes ouvertes, événements et notifications.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23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Carte / widget</w:t>
            </w:r>
          </w:p>
        </w:tc>
        <w:tc>
          <w:tcPr>
            <w:tcW w:type="dxa" w:w="7416"/>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Contenu</w:t>
            </w:r>
          </w:p>
        </w:tc>
      </w:tr>
      <w:tr>
        <w:tc>
          <w:tcPr>
            <w:tcW w:type="dxa" w:w="2232"/>
            <w:tcMar>
              <w:top w:w="90" w:type="dxa"/>
              <w:start w:w="90" w:type="dxa"/>
              <w:bottom w:w="90" w:type="dxa"/>
              <w:end w:w="90" w:type="dxa"/>
            </w:tcMar>
            <w:vAlign w:val="top"/>
          </w:tcPr>
          <w:p>
            <w:r>
              <w:rPr>
                <w:sz w:val="17"/>
              </w:rPr>
              <w:t>Situation de cotisation</w:t>
            </w:r>
          </w:p>
        </w:tc>
        <w:tc>
          <w:tcPr>
            <w:tcW w:type="dxa" w:w="7416"/>
            <w:tcMar>
              <w:top w:w="90" w:type="dxa"/>
              <w:start w:w="90" w:type="dxa"/>
              <w:bottom w:w="90" w:type="dxa"/>
              <w:end w:w="90" w:type="dxa"/>
            </w:tcMar>
            <w:vAlign w:val="top"/>
          </w:tcPr>
          <w:p>
            <w:r>
              <w:rPr>
                <w:sz w:val="17"/>
              </w:rPr>
              <w:t>Montant exigible, en retard, payé sur l’exercice, échéance suivante.</w:t>
            </w:r>
          </w:p>
        </w:tc>
      </w:tr>
      <w:tr>
        <w:tc>
          <w:tcPr>
            <w:tcW w:type="dxa" w:w="2232"/>
            <w:tcMar>
              <w:top w:w="90" w:type="dxa"/>
              <w:start w:w="90" w:type="dxa"/>
              <w:bottom w:w="90" w:type="dxa"/>
              <w:end w:w="90" w:type="dxa"/>
            </w:tcMar>
            <w:vAlign w:val="top"/>
          </w:tcPr>
          <w:p>
            <w:r>
              <w:rPr>
                <w:sz w:val="17"/>
              </w:rPr>
              <w:t>Action prioritaire</w:t>
            </w:r>
          </w:p>
        </w:tc>
        <w:tc>
          <w:tcPr>
            <w:tcW w:type="dxa" w:w="7416"/>
            <w:tcMar>
              <w:top w:w="90" w:type="dxa"/>
              <w:start w:w="90" w:type="dxa"/>
              <w:bottom w:w="90" w:type="dxa"/>
              <w:end w:w="90" w:type="dxa"/>
            </w:tcMar>
            <w:vAlign w:val="top"/>
          </w:tcPr>
          <w:p>
            <w:r>
              <w:rPr>
                <w:sz w:val="17"/>
              </w:rPr>
              <w:t>Bouton Payer, compléter le dossier, télécharger le reçu ou répondre à une demande.</w:t>
            </w:r>
          </w:p>
        </w:tc>
      </w:tr>
      <w:tr>
        <w:tc>
          <w:tcPr>
            <w:tcW w:type="dxa" w:w="2232"/>
            <w:tcMar>
              <w:top w:w="90" w:type="dxa"/>
              <w:start w:w="90" w:type="dxa"/>
              <w:bottom w:w="90" w:type="dxa"/>
              <w:end w:w="90" w:type="dxa"/>
            </w:tcMar>
            <w:vAlign w:val="top"/>
          </w:tcPr>
          <w:p>
            <w:r>
              <w:rPr>
                <w:sz w:val="17"/>
              </w:rPr>
              <w:t>Mes documents</w:t>
            </w:r>
          </w:p>
        </w:tc>
        <w:tc>
          <w:tcPr>
            <w:tcW w:type="dxa" w:w="7416"/>
            <w:tcMar>
              <w:top w:w="90" w:type="dxa"/>
              <w:start w:w="90" w:type="dxa"/>
              <w:bottom w:w="90" w:type="dxa"/>
              <w:end w:w="90" w:type="dxa"/>
            </w:tcMar>
            <w:vAlign w:val="top"/>
          </w:tcPr>
          <w:p>
            <w:r>
              <w:rPr>
                <w:sz w:val="17"/>
              </w:rPr>
              <w:t>Reçus, attestations, appels, cartes, courriers et documents partagés.</w:t>
            </w:r>
          </w:p>
        </w:tc>
      </w:tr>
      <w:tr>
        <w:tc>
          <w:tcPr>
            <w:tcW w:type="dxa" w:w="2232"/>
            <w:tcMar>
              <w:top w:w="90" w:type="dxa"/>
              <w:start w:w="90" w:type="dxa"/>
              <w:bottom w:w="90" w:type="dxa"/>
              <w:end w:w="90" w:type="dxa"/>
            </w:tcMar>
            <w:vAlign w:val="top"/>
          </w:tcPr>
          <w:p>
            <w:r>
              <w:rPr>
                <w:sz w:val="17"/>
              </w:rPr>
              <w:t>Mes requêtes</w:t>
            </w:r>
          </w:p>
        </w:tc>
        <w:tc>
          <w:tcPr>
            <w:tcW w:type="dxa" w:w="7416"/>
            <w:tcMar>
              <w:top w:w="90" w:type="dxa"/>
              <w:start w:w="90" w:type="dxa"/>
              <w:bottom w:w="90" w:type="dxa"/>
              <w:end w:w="90" w:type="dxa"/>
            </w:tcMar>
            <w:vAlign w:val="top"/>
          </w:tcPr>
          <w:p>
            <w:r>
              <w:rPr>
                <w:sz w:val="17"/>
              </w:rPr>
              <w:t>Statut, agent en charge, délai cible, dernier message.</w:t>
            </w:r>
          </w:p>
        </w:tc>
      </w:tr>
      <w:tr>
        <w:tc>
          <w:tcPr>
            <w:tcW w:type="dxa" w:w="2232"/>
            <w:tcMar>
              <w:top w:w="90" w:type="dxa"/>
              <w:start w:w="90" w:type="dxa"/>
              <w:bottom w:w="90" w:type="dxa"/>
              <w:end w:w="90" w:type="dxa"/>
            </w:tcMar>
            <w:vAlign w:val="top"/>
          </w:tcPr>
          <w:p>
            <w:r>
              <w:rPr>
                <w:sz w:val="17"/>
              </w:rPr>
              <w:t>Actualités et événements</w:t>
            </w:r>
          </w:p>
        </w:tc>
        <w:tc>
          <w:tcPr>
            <w:tcW w:type="dxa" w:w="7416"/>
            <w:tcMar>
              <w:top w:w="90" w:type="dxa"/>
              <w:start w:w="90" w:type="dxa"/>
              <w:bottom w:w="90" w:type="dxa"/>
              <w:end w:w="90" w:type="dxa"/>
            </w:tcMar>
            <w:vAlign w:val="top"/>
          </w:tcPr>
          <w:p>
            <w:r>
              <w:rPr>
                <w:sz w:val="17"/>
              </w:rPr>
              <w:t>Contenu ciblé selon secteur, groupement et préférences.</w:t>
            </w:r>
          </w:p>
        </w:tc>
      </w:tr>
      <w:tr>
        <w:tc>
          <w:tcPr>
            <w:tcW w:type="dxa" w:w="2232"/>
            <w:tcMar>
              <w:top w:w="90" w:type="dxa"/>
              <w:start w:w="90" w:type="dxa"/>
              <w:bottom w:w="90" w:type="dxa"/>
              <w:end w:w="90" w:type="dxa"/>
            </w:tcMar>
            <w:vAlign w:val="top"/>
          </w:tcPr>
          <w:p>
            <w:r>
              <w:rPr>
                <w:sz w:val="17"/>
              </w:rPr>
              <w:t>Profil de l’entreprise</w:t>
            </w:r>
          </w:p>
        </w:tc>
        <w:tc>
          <w:tcPr>
            <w:tcW w:type="dxa" w:w="7416"/>
            <w:tcMar>
              <w:top w:w="90" w:type="dxa"/>
              <w:start w:w="90" w:type="dxa"/>
              <w:bottom w:w="90" w:type="dxa"/>
              <w:end w:w="90" w:type="dxa"/>
            </w:tcMar>
            <w:vAlign w:val="top"/>
          </w:tcPr>
          <w:p>
            <w:r>
              <w:rPr>
                <w:sz w:val="17"/>
              </w:rPr>
              <w:t>Taux de complétude, pièces expirantes, contacts à confirmer.</w:t>
            </w:r>
          </w:p>
        </w:tc>
      </w:tr>
      <w:tr>
        <w:tc>
          <w:tcPr>
            <w:tcW w:type="dxa" w:w="2232"/>
            <w:tcMar>
              <w:top w:w="90" w:type="dxa"/>
              <w:start w:w="90" w:type="dxa"/>
              <w:bottom w:w="90" w:type="dxa"/>
              <w:end w:w="90" w:type="dxa"/>
            </w:tcMar>
            <w:vAlign w:val="top"/>
          </w:tcPr>
          <w:p>
            <w:r>
              <w:rPr>
                <w:sz w:val="17"/>
              </w:rPr>
              <w:t>Avantages CNPM</w:t>
            </w:r>
          </w:p>
        </w:tc>
        <w:tc>
          <w:tcPr>
            <w:tcW w:type="dxa" w:w="7416"/>
            <w:tcMar>
              <w:top w:w="90" w:type="dxa"/>
              <w:start w:w="90" w:type="dxa"/>
              <w:bottom w:w="90" w:type="dxa"/>
              <w:end w:w="90" w:type="dxa"/>
            </w:tcMar>
            <w:vAlign w:val="top"/>
          </w:tcPr>
          <w:p>
            <w:r>
              <w:rPr>
                <w:sz w:val="17"/>
              </w:rPr>
              <w:t>Services disponibles, éligibilité, demandes rapides.</w:t>
            </w:r>
          </w:p>
        </w:tc>
      </w:tr>
      <w:tr>
        <w:tc>
          <w:tcPr>
            <w:tcW w:type="dxa" w:w="2232"/>
            <w:tcMar>
              <w:top w:w="90" w:type="dxa"/>
              <w:start w:w="90" w:type="dxa"/>
              <w:bottom w:w="90" w:type="dxa"/>
              <w:end w:w="90" w:type="dxa"/>
            </w:tcMar>
            <w:vAlign w:val="top"/>
          </w:tcPr>
          <w:p>
            <w:r>
              <w:rPr>
                <w:sz w:val="17"/>
              </w:rPr>
              <w:t>Notifications</w:t>
            </w:r>
          </w:p>
        </w:tc>
        <w:tc>
          <w:tcPr>
            <w:tcW w:type="dxa" w:w="7416"/>
            <w:tcMar>
              <w:top w:w="90" w:type="dxa"/>
              <w:start w:w="90" w:type="dxa"/>
              <w:bottom w:w="90" w:type="dxa"/>
              <w:end w:w="90" w:type="dxa"/>
            </w:tcMar>
            <w:vAlign w:val="top"/>
          </w:tcPr>
          <w:p>
            <w:r>
              <w:rPr>
                <w:sz w:val="17"/>
              </w:rPr>
              <w:t>Centre unifié, lu/non lu, préférences et historique.</w:t>
            </w:r>
          </w:p>
        </w:tc>
      </w:tr>
    </w:tbl>
    <w:p>
      <w:pPr>
        <w:spacing w:after="20"/>
      </w:pPr>
    </w:p>
    <w:p>
      <w:pPr>
        <w:pStyle w:val="Heading2"/>
      </w:pPr>
      <w:r>
        <w:t>11.2 Fonctions self-service</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PRT-001</w:t>
            </w:r>
          </w:p>
        </w:tc>
        <w:tc>
          <w:tcPr>
            <w:tcW w:type="dxa" w:w="4680"/>
            <w:tcMar>
              <w:top w:w="90" w:type="dxa"/>
              <w:start w:w="90" w:type="dxa"/>
              <w:bottom w:w="90" w:type="dxa"/>
              <w:end w:w="90" w:type="dxa"/>
            </w:tcMar>
            <w:vAlign w:val="top"/>
          </w:tcPr>
          <w:p>
            <w:r>
              <w:rPr>
                <w:sz w:val="16"/>
              </w:rPr>
              <w:t>Connexion par mot de passe ou OTP avec 2FA selon risque.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membre peut récupérer son accès sans intervention manuelle abusive.</w:t>
            </w:r>
          </w:p>
        </w:tc>
      </w:tr>
      <w:tr>
        <w:tc>
          <w:tcPr>
            <w:tcW w:type="dxa" w:w="1037"/>
            <w:tcMar>
              <w:top w:w="90" w:type="dxa"/>
              <w:start w:w="90" w:type="dxa"/>
              <w:bottom w:w="90" w:type="dxa"/>
              <w:end w:w="90" w:type="dxa"/>
            </w:tcMar>
            <w:vAlign w:val="top"/>
          </w:tcPr>
          <w:p>
            <w:r>
              <w:rPr>
                <w:sz w:val="16"/>
              </w:rPr>
              <w:t>PRT-002</w:t>
            </w:r>
          </w:p>
        </w:tc>
        <w:tc>
          <w:tcPr>
            <w:tcW w:type="dxa" w:w="4680"/>
            <w:tcMar>
              <w:top w:w="90" w:type="dxa"/>
              <w:start w:w="90" w:type="dxa"/>
              <w:bottom w:w="90" w:type="dxa"/>
              <w:end w:w="90" w:type="dxa"/>
            </w:tcMar>
            <w:vAlign w:val="top"/>
          </w:tcPr>
          <w:p>
            <w:r>
              <w:rPr>
                <w:sz w:val="16"/>
              </w:rPr>
              <w:t>Consulter le détail des cotisations et télécharger les appels.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Les calculs et ajustements sont explicités.</w:t>
            </w:r>
          </w:p>
        </w:tc>
      </w:tr>
      <w:tr>
        <w:tc>
          <w:tcPr>
            <w:tcW w:type="dxa" w:w="1037"/>
            <w:tcMar>
              <w:top w:w="90" w:type="dxa"/>
              <w:start w:w="90" w:type="dxa"/>
              <w:bottom w:w="90" w:type="dxa"/>
              <w:end w:w="90" w:type="dxa"/>
            </w:tcMar>
            <w:vAlign w:val="top"/>
          </w:tcPr>
          <w:p>
            <w:r>
              <w:rPr>
                <w:sz w:val="16"/>
              </w:rPr>
              <w:t>PRT-003</w:t>
            </w:r>
          </w:p>
        </w:tc>
        <w:tc>
          <w:tcPr>
            <w:tcW w:type="dxa" w:w="4680"/>
            <w:tcMar>
              <w:top w:w="90" w:type="dxa"/>
              <w:start w:w="90" w:type="dxa"/>
              <w:bottom w:w="90" w:type="dxa"/>
              <w:end w:w="90" w:type="dxa"/>
            </w:tcMar>
            <w:vAlign w:val="top"/>
          </w:tcPr>
          <w:p>
            <w:r>
              <w:rPr>
                <w:sz w:val="16"/>
              </w:rPr>
              <w:t>Initier un paiement et suivre son statut.</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statut est actualisé et les échecs sont expliqués.</w:t>
            </w:r>
          </w:p>
        </w:tc>
      </w:tr>
      <w:tr>
        <w:tc>
          <w:tcPr>
            <w:tcW w:type="dxa" w:w="1037"/>
            <w:tcMar>
              <w:top w:w="90" w:type="dxa"/>
              <w:start w:w="90" w:type="dxa"/>
              <w:bottom w:w="90" w:type="dxa"/>
              <w:end w:w="90" w:type="dxa"/>
            </w:tcMar>
            <w:vAlign w:val="top"/>
          </w:tcPr>
          <w:p>
            <w:r>
              <w:rPr>
                <w:sz w:val="16"/>
              </w:rPr>
              <w:t>PRT-004</w:t>
            </w:r>
          </w:p>
        </w:tc>
        <w:tc>
          <w:tcPr>
            <w:tcW w:type="dxa" w:w="4680"/>
            <w:tcMar>
              <w:top w:w="90" w:type="dxa"/>
              <w:start w:w="90" w:type="dxa"/>
              <w:bottom w:w="90" w:type="dxa"/>
              <w:end w:w="90" w:type="dxa"/>
            </w:tcMar>
            <w:vAlign w:val="top"/>
          </w:tcPr>
          <w:p>
            <w:r>
              <w:rPr>
                <w:sz w:val="16"/>
              </w:rPr>
              <w:t>Télécharger reçus, attestations et carte membre.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Les documents sont signés et vérifiables.</w:t>
            </w:r>
          </w:p>
        </w:tc>
      </w:tr>
      <w:tr>
        <w:tc>
          <w:tcPr>
            <w:tcW w:type="dxa" w:w="1037"/>
            <w:tcMar>
              <w:top w:w="90" w:type="dxa"/>
              <w:start w:w="90" w:type="dxa"/>
              <w:bottom w:w="90" w:type="dxa"/>
              <w:end w:w="90" w:type="dxa"/>
            </w:tcMar>
            <w:vAlign w:val="top"/>
          </w:tcPr>
          <w:p>
            <w:r>
              <w:rPr>
                <w:sz w:val="16"/>
              </w:rPr>
              <w:t>PRT-005</w:t>
            </w:r>
          </w:p>
        </w:tc>
        <w:tc>
          <w:tcPr>
            <w:tcW w:type="dxa" w:w="4680"/>
            <w:tcMar>
              <w:top w:w="90" w:type="dxa"/>
              <w:start w:w="90" w:type="dxa"/>
              <w:bottom w:w="90" w:type="dxa"/>
              <w:end w:w="90" w:type="dxa"/>
            </w:tcMar>
            <w:vAlign w:val="top"/>
          </w:tcPr>
          <w:p>
            <w:r>
              <w:rPr>
                <w:sz w:val="16"/>
              </w:rPr>
              <w:t>Mettre à jour les informations soumises à validation.</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Les changements sensibles restent en attente jusqu’à validation.</w:t>
            </w:r>
          </w:p>
        </w:tc>
      </w:tr>
      <w:tr>
        <w:tc>
          <w:tcPr>
            <w:tcW w:type="dxa" w:w="1037"/>
            <w:tcMar>
              <w:top w:w="90" w:type="dxa"/>
              <w:start w:w="90" w:type="dxa"/>
              <w:bottom w:w="90" w:type="dxa"/>
              <w:end w:w="90" w:type="dxa"/>
            </w:tcMar>
            <w:vAlign w:val="top"/>
          </w:tcPr>
          <w:p>
            <w:r>
              <w:rPr>
                <w:sz w:val="16"/>
              </w:rPr>
              <w:t>PRT-006</w:t>
            </w:r>
          </w:p>
        </w:tc>
        <w:tc>
          <w:tcPr>
            <w:tcW w:type="dxa" w:w="4680"/>
            <w:tcMar>
              <w:top w:w="90" w:type="dxa"/>
              <w:start w:w="90" w:type="dxa"/>
              <w:bottom w:w="90" w:type="dxa"/>
              <w:end w:w="90" w:type="dxa"/>
            </w:tcMar>
            <w:vAlign w:val="top"/>
          </w:tcPr>
          <w:p>
            <w:r>
              <w:rPr>
                <w:sz w:val="16"/>
              </w:rPr>
              <w:t>Déposer et suivre une requête ou réclamation.</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membre voit le SLA, les réponses et les pièces demandées.</w:t>
            </w:r>
          </w:p>
        </w:tc>
      </w:tr>
      <w:tr>
        <w:tc>
          <w:tcPr>
            <w:tcW w:type="dxa" w:w="1037"/>
            <w:tcMar>
              <w:top w:w="90" w:type="dxa"/>
              <w:start w:w="90" w:type="dxa"/>
              <w:bottom w:w="90" w:type="dxa"/>
              <w:end w:w="90" w:type="dxa"/>
            </w:tcMar>
            <w:vAlign w:val="top"/>
          </w:tcPr>
          <w:p>
            <w:r>
              <w:rPr>
                <w:sz w:val="16"/>
              </w:rPr>
              <w:t>PRT-007</w:t>
            </w:r>
          </w:p>
        </w:tc>
        <w:tc>
          <w:tcPr>
            <w:tcW w:type="dxa" w:w="4680"/>
            <w:tcMar>
              <w:top w:w="90" w:type="dxa"/>
              <w:start w:w="90" w:type="dxa"/>
              <w:bottom w:w="90" w:type="dxa"/>
              <w:end w:w="90" w:type="dxa"/>
            </w:tcMar>
            <w:vAlign w:val="top"/>
          </w:tcPr>
          <w:p>
            <w:r>
              <w:rPr>
                <w:sz w:val="16"/>
              </w:rPr>
              <w:t>Inscrire des représentants aux événements.</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Confirmation, QR d’accès et rappel automatiques.</w:t>
            </w:r>
          </w:p>
        </w:tc>
      </w:tr>
      <w:tr>
        <w:tc>
          <w:tcPr>
            <w:tcW w:type="dxa" w:w="1037"/>
            <w:tcMar>
              <w:top w:w="90" w:type="dxa"/>
              <w:start w:w="90" w:type="dxa"/>
              <w:bottom w:w="90" w:type="dxa"/>
              <w:end w:w="90" w:type="dxa"/>
            </w:tcMar>
            <w:vAlign w:val="top"/>
          </w:tcPr>
          <w:p>
            <w:r>
              <w:rPr>
                <w:sz w:val="16"/>
              </w:rPr>
              <w:t>PRT-008</w:t>
            </w:r>
          </w:p>
        </w:tc>
        <w:tc>
          <w:tcPr>
            <w:tcW w:type="dxa" w:w="4680"/>
            <w:tcMar>
              <w:top w:w="90" w:type="dxa"/>
              <w:start w:w="90" w:type="dxa"/>
              <w:bottom w:w="90" w:type="dxa"/>
              <w:end w:w="90" w:type="dxa"/>
            </w:tcMar>
            <w:vAlign w:val="top"/>
          </w:tcPr>
          <w:p>
            <w:r>
              <w:rPr>
                <w:sz w:val="16"/>
              </w:rPr>
              <w:t>Gérer les utilisateurs délégués de l’entreprise.</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Le représentant principal attribue des droits limités.</w:t>
            </w:r>
          </w:p>
        </w:tc>
      </w:tr>
      <w:tr>
        <w:tc>
          <w:tcPr>
            <w:tcW w:type="dxa" w:w="1037"/>
            <w:tcMar>
              <w:top w:w="90" w:type="dxa"/>
              <w:start w:w="90" w:type="dxa"/>
              <w:bottom w:w="90" w:type="dxa"/>
              <w:end w:w="90" w:type="dxa"/>
            </w:tcMar>
            <w:vAlign w:val="top"/>
          </w:tcPr>
          <w:p>
            <w:r>
              <w:rPr>
                <w:sz w:val="16"/>
              </w:rPr>
              <w:t>PRT-009</w:t>
            </w:r>
          </w:p>
        </w:tc>
        <w:tc>
          <w:tcPr>
            <w:tcW w:type="dxa" w:w="4680"/>
            <w:tcMar>
              <w:top w:w="90" w:type="dxa"/>
              <w:start w:w="90" w:type="dxa"/>
              <w:bottom w:w="90" w:type="dxa"/>
              <w:end w:w="90" w:type="dxa"/>
            </w:tcMar>
            <w:vAlign w:val="top"/>
          </w:tcPr>
          <w:p>
            <w:r>
              <w:rPr>
                <w:sz w:val="16"/>
              </w:rPr>
              <w:t>Utiliser l’application en français et préparer d’autres langues.</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Tous les libellés sont externalisés et traduisibles.</w:t>
            </w:r>
          </w:p>
        </w:tc>
      </w:tr>
      <w:tr>
        <w:tc>
          <w:tcPr>
            <w:tcW w:type="dxa" w:w="1037"/>
            <w:tcMar>
              <w:top w:w="90" w:type="dxa"/>
              <w:start w:w="90" w:type="dxa"/>
              <w:bottom w:w="90" w:type="dxa"/>
              <w:end w:w="90" w:type="dxa"/>
            </w:tcMar>
            <w:vAlign w:val="top"/>
          </w:tcPr>
          <w:p>
            <w:r>
              <w:rPr>
                <w:sz w:val="16"/>
              </w:rPr>
              <w:t>PRT-010</w:t>
            </w:r>
          </w:p>
        </w:tc>
        <w:tc>
          <w:tcPr>
            <w:tcW w:type="dxa" w:w="4680"/>
            <w:tcMar>
              <w:top w:w="90" w:type="dxa"/>
              <w:start w:w="90" w:type="dxa"/>
              <w:bottom w:w="90" w:type="dxa"/>
              <w:end w:w="90" w:type="dxa"/>
            </w:tcMar>
            <w:vAlign w:val="top"/>
          </w:tcPr>
          <w:p>
            <w:r>
              <w:rPr>
                <w:sz w:val="16"/>
              </w:rPr>
              <w:t>Recevoir des notifications push pertinentes.</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Les préférences sont modifiables et la désinscription respectée.</w:t>
            </w:r>
          </w:p>
        </w:tc>
      </w:tr>
    </w:tbl>
    <w:p>
      <w:pPr>
        <w:spacing w:after="20"/>
      </w:pPr>
    </w:p>
    <w:p>
      <w:pPr>
        <w:pStyle w:val="Heading2"/>
      </w:pPr>
      <w:r>
        <w:t>11.3 Mode faible connectivité</w:t>
      </w:r>
    </w:p>
    <w:p>
      <w:pPr>
        <w:pStyle w:val="ListBullet"/>
      </w:pPr>
      <w:r>
        <w:t>PWA installable et cache des écrans essentiels.</w:t>
      </w:r>
    </w:p>
    <w:p>
      <w:pPr>
        <w:pStyle w:val="ListBullet"/>
      </w:pPr>
      <w:r>
        <w:t>Compression des pièces et reprise automatique des téléchargements interrompus.</w:t>
      </w:r>
    </w:p>
    <w:p>
      <w:pPr>
        <w:pStyle w:val="ListBullet"/>
      </w:pPr>
      <w:r>
        <w:t>Affichage du dernier état synchronisé avec date/heure claire.</w:t>
      </w:r>
    </w:p>
    <w:p>
      <w:pPr>
        <w:pStyle w:val="ListBullet"/>
      </w:pPr>
      <w:r>
        <w:t>Saisie hors ligne limitée aux brouillons et actions non financières; synchronisation sécurisée ultérieure.</w:t>
      </w:r>
    </w:p>
    <w:p>
      <w:pPr>
        <w:pStyle w:val="ListBullet"/>
      </w:pPr>
      <w:r>
        <w:t>Pas de confirmation de paiement hors ligne sans retour du système central.</w:t>
      </w:r>
    </w:p>
    <w:p>
      <w:pPr>
        <w:pStyle w:val="Heading1"/>
      </w:pPr>
      <w:r>
        <w:t>12. Requêtes, réclamations et services aux membres</w:t>
      </w:r>
    </w:p>
    <w:p>
      <w:pPr>
        <w:pStyle w:val="Heading2"/>
      </w:pPr>
      <w:r>
        <w:t>12.1 Catalogue de services</w:t>
      </w:r>
    </w:p>
    <w:p>
      <w:r>
        <w:t>Le CNPM peut publier un catalogue de services : attestation, mise en relation, accompagnement administratif, formation, appui juridique, documentation, inscription événement, demande de représentation ou tout autre service paramétrable.</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088"/>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Attribut</w:t>
            </w:r>
          </w:p>
        </w:tc>
        <w:tc>
          <w:tcPr>
            <w:tcW w:type="dxa" w:w="756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Description</w:t>
            </w:r>
          </w:p>
        </w:tc>
      </w:tr>
      <w:tr>
        <w:tc>
          <w:tcPr>
            <w:tcW w:type="dxa" w:w="2088"/>
            <w:tcMar>
              <w:top w:w="90" w:type="dxa"/>
              <w:start w:w="90" w:type="dxa"/>
              <w:bottom w:w="90" w:type="dxa"/>
              <w:end w:w="90" w:type="dxa"/>
            </w:tcMar>
            <w:vAlign w:val="top"/>
          </w:tcPr>
          <w:p>
            <w:r>
              <w:rPr>
                <w:sz w:val="17"/>
              </w:rPr>
              <w:t>Service</w:t>
            </w:r>
          </w:p>
        </w:tc>
        <w:tc>
          <w:tcPr>
            <w:tcW w:type="dxa" w:w="7560"/>
            <w:tcMar>
              <w:top w:w="90" w:type="dxa"/>
              <w:start w:w="90" w:type="dxa"/>
              <w:bottom w:w="90" w:type="dxa"/>
              <w:end w:w="90" w:type="dxa"/>
            </w:tcMar>
            <w:vAlign w:val="top"/>
          </w:tcPr>
          <w:p>
            <w:r>
              <w:rPr>
                <w:sz w:val="17"/>
              </w:rPr>
              <w:t>Nom, description, public éligible, groupement, coût éventuel.</w:t>
            </w:r>
          </w:p>
        </w:tc>
      </w:tr>
      <w:tr>
        <w:tc>
          <w:tcPr>
            <w:tcW w:type="dxa" w:w="2088"/>
            <w:tcMar>
              <w:top w:w="90" w:type="dxa"/>
              <w:start w:w="90" w:type="dxa"/>
              <w:bottom w:w="90" w:type="dxa"/>
              <w:end w:w="90" w:type="dxa"/>
            </w:tcMar>
            <w:vAlign w:val="top"/>
          </w:tcPr>
          <w:p>
            <w:r>
              <w:rPr>
                <w:sz w:val="17"/>
              </w:rPr>
              <w:t>Formulaire</w:t>
            </w:r>
          </w:p>
        </w:tc>
        <w:tc>
          <w:tcPr>
            <w:tcW w:type="dxa" w:w="7560"/>
            <w:tcMar>
              <w:top w:w="90" w:type="dxa"/>
              <w:start w:w="90" w:type="dxa"/>
              <w:bottom w:w="90" w:type="dxa"/>
              <w:end w:w="90" w:type="dxa"/>
            </w:tcMar>
            <w:vAlign w:val="top"/>
          </w:tcPr>
          <w:p>
            <w:r>
              <w:rPr>
                <w:sz w:val="17"/>
              </w:rPr>
              <w:t>Champs dynamiques, pièces, consentements, validations.</w:t>
            </w:r>
          </w:p>
        </w:tc>
      </w:tr>
      <w:tr>
        <w:tc>
          <w:tcPr>
            <w:tcW w:type="dxa" w:w="2088"/>
            <w:tcMar>
              <w:top w:w="90" w:type="dxa"/>
              <w:start w:w="90" w:type="dxa"/>
              <w:bottom w:w="90" w:type="dxa"/>
              <w:end w:w="90" w:type="dxa"/>
            </w:tcMar>
            <w:vAlign w:val="top"/>
          </w:tcPr>
          <w:p>
            <w:r>
              <w:rPr>
                <w:sz w:val="17"/>
              </w:rPr>
              <w:t>SLA</w:t>
            </w:r>
          </w:p>
        </w:tc>
        <w:tc>
          <w:tcPr>
            <w:tcW w:type="dxa" w:w="7560"/>
            <w:tcMar>
              <w:top w:w="90" w:type="dxa"/>
              <w:start w:w="90" w:type="dxa"/>
              <w:bottom w:w="90" w:type="dxa"/>
              <w:end w:w="90" w:type="dxa"/>
            </w:tcMar>
            <w:vAlign w:val="top"/>
          </w:tcPr>
          <w:p>
            <w:r>
              <w:rPr>
                <w:sz w:val="17"/>
              </w:rPr>
              <w:t>Délai cible, calendrier ouvré, niveau de priorité, escalades.</w:t>
            </w:r>
          </w:p>
        </w:tc>
      </w:tr>
      <w:tr>
        <w:tc>
          <w:tcPr>
            <w:tcW w:type="dxa" w:w="2088"/>
            <w:tcMar>
              <w:top w:w="90" w:type="dxa"/>
              <w:start w:w="90" w:type="dxa"/>
              <w:bottom w:w="90" w:type="dxa"/>
              <w:end w:w="90" w:type="dxa"/>
            </w:tcMar>
            <w:vAlign w:val="top"/>
          </w:tcPr>
          <w:p>
            <w:r>
              <w:rPr>
                <w:sz w:val="17"/>
              </w:rPr>
              <w:t>Workflow</w:t>
            </w:r>
          </w:p>
        </w:tc>
        <w:tc>
          <w:tcPr>
            <w:tcW w:type="dxa" w:w="7560"/>
            <w:tcMar>
              <w:top w:w="90" w:type="dxa"/>
              <w:start w:w="90" w:type="dxa"/>
              <w:bottom w:w="90" w:type="dxa"/>
              <w:end w:w="90" w:type="dxa"/>
            </w:tcMar>
            <w:vAlign w:val="top"/>
          </w:tcPr>
          <w:p>
            <w:r>
              <w:rPr>
                <w:sz w:val="17"/>
              </w:rPr>
              <w:t>Étapes, rôles, décision, demande de complément, clôture.</w:t>
            </w:r>
          </w:p>
        </w:tc>
      </w:tr>
      <w:tr>
        <w:tc>
          <w:tcPr>
            <w:tcW w:type="dxa" w:w="2088"/>
            <w:tcMar>
              <w:top w:w="90" w:type="dxa"/>
              <w:start w:w="90" w:type="dxa"/>
              <w:bottom w:w="90" w:type="dxa"/>
              <w:end w:w="90" w:type="dxa"/>
            </w:tcMar>
            <w:vAlign w:val="top"/>
          </w:tcPr>
          <w:p>
            <w:r>
              <w:rPr>
                <w:sz w:val="17"/>
              </w:rPr>
              <w:t>Communication</w:t>
            </w:r>
          </w:p>
        </w:tc>
        <w:tc>
          <w:tcPr>
            <w:tcW w:type="dxa" w:w="7560"/>
            <w:tcMar>
              <w:top w:w="90" w:type="dxa"/>
              <w:start w:w="90" w:type="dxa"/>
              <w:bottom w:w="90" w:type="dxa"/>
              <w:end w:w="90" w:type="dxa"/>
            </w:tcMar>
            <w:vAlign w:val="top"/>
          </w:tcPr>
          <w:p>
            <w:r>
              <w:rPr>
                <w:sz w:val="17"/>
              </w:rPr>
              <w:t>Accusé de réception, notifications, modèles de réponse.</w:t>
            </w:r>
          </w:p>
        </w:tc>
      </w:tr>
      <w:tr>
        <w:tc>
          <w:tcPr>
            <w:tcW w:type="dxa" w:w="2088"/>
            <w:tcMar>
              <w:top w:w="90" w:type="dxa"/>
              <w:start w:w="90" w:type="dxa"/>
              <w:bottom w:w="90" w:type="dxa"/>
              <w:end w:w="90" w:type="dxa"/>
            </w:tcMar>
            <w:vAlign w:val="top"/>
          </w:tcPr>
          <w:p>
            <w:r>
              <w:rPr>
                <w:sz w:val="17"/>
              </w:rPr>
              <w:t>Qualité</w:t>
            </w:r>
          </w:p>
        </w:tc>
        <w:tc>
          <w:tcPr>
            <w:tcW w:type="dxa" w:w="7560"/>
            <w:tcMar>
              <w:top w:w="90" w:type="dxa"/>
              <w:start w:w="90" w:type="dxa"/>
              <w:bottom w:w="90" w:type="dxa"/>
              <w:end w:w="90" w:type="dxa"/>
            </w:tcMar>
            <w:vAlign w:val="top"/>
          </w:tcPr>
          <w:p>
            <w:r>
              <w:rPr>
                <w:sz w:val="17"/>
              </w:rPr>
              <w:t>Satisfaction, motif de réouverture, délai réel et indicateurs.</w:t>
            </w:r>
          </w:p>
        </w:tc>
      </w:tr>
    </w:tbl>
    <w:p>
      <w:pPr>
        <w:spacing w:after="20"/>
      </w:pPr>
    </w:p>
    <w:p>
      <w:pPr>
        <w:pStyle w:val="Heading2"/>
      </w:pPr>
      <w:r>
        <w:t>12.2 Gestion des requêtes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REQ-001</w:t>
            </w:r>
          </w:p>
        </w:tc>
        <w:tc>
          <w:tcPr>
            <w:tcW w:type="dxa" w:w="4680"/>
            <w:tcMar>
              <w:top w:w="90" w:type="dxa"/>
              <w:start w:w="90" w:type="dxa"/>
              <w:bottom w:w="90" w:type="dxa"/>
              <w:end w:w="90" w:type="dxa"/>
            </w:tcMar>
            <w:vAlign w:val="top"/>
          </w:tcPr>
          <w:p>
            <w:r>
              <w:rPr>
                <w:sz w:val="16"/>
              </w:rPr>
              <w:t>Attribuer un numéro de dossier unique et un accusé de réception.</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membre reçoit numéro, date et délai cible.</w:t>
            </w:r>
          </w:p>
        </w:tc>
      </w:tr>
      <w:tr>
        <w:tc>
          <w:tcPr>
            <w:tcW w:type="dxa" w:w="1037"/>
            <w:tcMar>
              <w:top w:w="90" w:type="dxa"/>
              <w:start w:w="90" w:type="dxa"/>
              <w:bottom w:w="90" w:type="dxa"/>
              <w:end w:w="90" w:type="dxa"/>
            </w:tcMar>
            <w:vAlign w:val="top"/>
          </w:tcPr>
          <w:p>
            <w:r>
              <w:rPr>
                <w:sz w:val="16"/>
              </w:rPr>
              <w:t>REQ-002</w:t>
            </w:r>
          </w:p>
        </w:tc>
        <w:tc>
          <w:tcPr>
            <w:tcW w:type="dxa" w:w="4680"/>
            <w:tcMar>
              <w:top w:w="90" w:type="dxa"/>
              <w:start w:w="90" w:type="dxa"/>
              <w:bottom w:w="90" w:type="dxa"/>
              <w:end w:w="90" w:type="dxa"/>
            </w:tcMar>
            <w:vAlign w:val="top"/>
          </w:tcPr>
          <w:p>
            <w:r>
              <w:rPr>
                <w:sz w:val="16"/>
              </w:rPr>
              <w:t>Qualifier automatiquement ou manuellement la demande.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Catégorie, priorité, service, confidentialité et responsable sont définis.</w:t>
            </w:r>
          </w:p>
        </w:tc>
      </w:tr>
      <w:tr>
        <w:tc>
          <w:tcPr>
            <w:tcW w:type="dxa" w:w="1037"/>
            <w:tcMar>
              <w:top w:w="90" w:type="dxa"/>
              <w:start w:w="90" w:type="dxa"/>
              <w:bottom w:w="90" w:type="dxa"/>
              <w:end w:w="90" w:type="dxa"/>
            </w:tcMar>
            <w:vAlign w:val="top"/>
          </w:tcPr>
          <w:p>
            <w:r>
              <w:rPr>
                <w:sz w:val="16"/>
              </w:rPr>
              <w:t>REQ-003</w:t>
            </w:r>
          </w:p>
        </w:tc>
        <w:tc>
          <w:tcPr>
            <w:tcW w:type="dxa" w:w="4680"/>
            <w:tcMar>
              <w:top w:w="90" w:type="dxa"/>
              <w:start w:w="90" w:type="dxa"/>
              <w:bottom w:w="90" w:type="dxa"/>
              <w:end w:w="90" w:type="dxa"/>
            </w:tcMar>
            <w:vAlign w:val="top"/>
          </w:tcPr>
          <w:p>
            <w:r>
              <w:rPr>
                <w:sz w:val="16"/>
              </w:rPr>
              <w:t>Affecter selon compétence, charge et groupement.</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L’affectation automatique peut être reprise avec motif.</w:t>
            </w:r>
          </w:p>
        </w:tc>
      </w:tr>
      <w:tr>
        <w:tc>
          <w:tcPr>
            <w:tcW w:type="dxa" w:w="1037"/>
            <w:tcMar>
              <w:top w:w="90" w:type="dxa"/>
              <w:start w:w="90" w:type="dxa"/>
              <w:bottom w:w="90" w:type="dxa"/>
              <w:end w:w="90" w:type="dxa"/>
            </w:tcMar>
            <w:vAlign w:val="top"/>
          </w:tcPr>
          <w:p>
            <w:r>
              <w:rPr>
                <w:sz w:val="16"/>
              </w:rPr>
              <w:t>REQ-004</w:t>
            </w:r>
          </w:p>
        </w:tc>
        <w:tc>
          <w:tcPr>
            <w:tcW w:type="dxa" w:w="4680"/>
            <w:tcMar>
              <w:top w:w="90" w:type="dxa"/>
              <w:start w:w="90" w:type="dxa"/>
              <w:bottom w:w="90" w:type="dxa"/>
              <w:end w:w="90" w:type="dxa"/>
            </w:tcMar>
            <w:vAlign w:val="top"/>
          </w:tcPr>
          <w:p>
            <w:r>
              <w:rPr>
                <w:sz w:val="16"/>
              </w:rPr>
              <w:t>Gérer échanges, pièces, commentaires internes et réponses externes.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Les notes internes ne sont jamais visibles du membre.</w:t>
            </w:r>
          </w:p>
        </w:tc>
      </w:tr>
      <w:tr>
        <w:tc>
          <w:tcPr>
            <w:tcW w:type="dxa" w:w="1037"/>
            <w:tcMar>
              <w:top w:w="90" w:type="dxa"/>
              <w:start w:w="90" w:type="dxa"/>
              <w:bottom w:w="90" w:type="dxa"/>
              <w:end w:w="90" w:type="dxa"/>
            </w:tcMar>
            <w:vAlign w:val="top"/>
          </w:tcPr>
          <w:p>
            <w:r>
              <w:rPr>
                <w:sz w:val="16"/>
              </w:rPr>
              <w:t>REQ-005</w:t>
            </w:r>
          </w:p>
        </w:tc>
        <w:tc>
          <w:tcPr>
            <w:tcW w:type="dxa" w:w="4680"/>
            <w:tcMar>
              <w:top w:w="90" w:type="dxa"/>
              <w:start w:w="90" w:type="dxa"/>
              <w:bottom w:w="90" w:type="dxa"/>
              <w:end w:w="90" w:type="dxa"/>
            </w:tcMar>
            <w:vAlign w:val="top"/>
          </w:tcPr>
          <w:p>
            <w:r>
              <w:rPr>
                <w:sz w:val="16"/>
              </w:rPr>
              <w:t>Suivre SLA, relances internes et escalades.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Des alertes sont envoyées avant et après dépassement.</w:t>
            </w:r>
          </w:p>
        </w:tc>
      </w:tr>
      <w:tr>
        <w:tc>
          <w:tcPr>
            <w:tcW w:type="dxa" w:w="1037"/>
            <w:tcMar>
              <w:top w:w="90" w:type="dxa"/>
              <w:start w:w="90" w:type="dxa"/>
              <w:bottom w:w="90" w:type="dxa"/>
              <w:end w:w="90" w:type="dxa"/>
            </w:tcMar>
            <w:vAlign w:val="top"/>
          </w:tcPr>
          <w:p>
            <w:r>
              <w:rPr>
                <w:sz w:val="16"/>
              </w:rPr>
              <w:t>REQ-006</w:t>
            </w:r>
          </w:p>
        </w:tc>
        <w:tc>
          <w:tcPr>
            <w:tcW w:type="dxa" w:w="4680"/>
            <w:tcMar>
              <w:top w:w="90" w:type="dxa"/>
              <w:start w:w="90" w:type="dxa"/>
              <w:bottom w:w="90" w:type="dxa"/>
              <w:end w:w="90" w:type="dxa"/>
            </w:tcMar>
            <w:vAlign w:val="top"/>
          </w:tcPr>
          <w:p>
            <w:r>
              <w:rPr>
                <w:sz w:val="16"/>
              </w:rPr>
              <w:t>Permettre au membre de réouvrir dans un délai paramétrable.</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Le motif de réouverture est obligatoire.</w:t>
            </w:r>
          </w:p>
        </w:tc>
      </w:tr>
      <w:tr>
        <w:tc>
          <w:tcPr>
            <w:tcW w:type="dxa" w:w="1037"/>
            <w:tcMar>
              <w:top w:w="90" w:type="dxa"/>
              <w:start w:w="90" w:type="dxa"/>
              <w:bottom w:w="90" w:type="dxa"/>
              <w:end w:w="90" w:type="dxa"/>
            </w:tcMar>
            <w:vAlign w:val="top"/>
          </w:tcPr>
          <w:p>
            <w:r>
              <w:rPr>
                <w:sz w:val="16"/>
              </w:rPr>
              <w:t>REQ-007</w:t>
            </w:r>
          </w:p>
        </w:tc>
        <w:tc>
          <w:tcPr>
            <w:tcW w:type="dxa" w:w="4680"/>
            <w:tcMar>
              <w:top w:w="90" w:type="dxa"/>
              <w:start w:w="90" w:type="dxa"/>
              <w:bottom w:w="90" w:type="dxa"/>
              <w:end w:w="90" w:type="dxa"/>
            </w:tcMar>
            <w:vAlign w:val="top"/>
          </w:tcPr>
          <w:p>
            <w:r>
              <w:rPr>
                <w:sz w:val="16"/>
              </w:rPr>
              <w:t>Mesurer satisfaction et qualité de service.</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Score, verbatim et motif d’insatisfaction sont exploitables en BI.</w:t>
            </w:r>
          </w:p>
        </w:tc>
      </w:tr>
      <w:tr>
        <w:tc>
          <w:tcPr>
            <w:tcW w:type="dxa" w:w="1037"/>
            <w:tcMar>
              <w:top w:w="90" w:type="dxa"/>
              <w:start w:w="90" w:type="dxa"/>
              <w:bottom w:w="90" w:type="dxa"/>
              <w:end w:w="90" w:type="dxa"/>
            </w:tcMar>
            <w:vAlign w:val="top"/>
          </w:tcPr>
          <w:p>
            <w:r>
              <w:rPr>
                <w:sz w:val="16"/>
              </w:rPr>
              <w:t>REQ-008</w:t>
            </w:r>
          </w:p>
        </w:tc>
        <w:tc>
          <w:tcPr>
            <w:tcW w:type="dxa" w:w="4680"/>
            <w:tcMar>
              <w:top w:w="90" w:type="dxa"/>
              <w:start w:w="90" w:type="dxa"/>
              <w:bottom w:w="90" w:type="dxa"/>
              <w:end w:w="90" w:type="dxa"/>
            </w:tcMar>
            <w:vAlign w:val="top"/>
          </w:tcPr>
          <w:p>
            <w:r>
              <w:rPr>
                <w:sz w:val="16"/>
              </w:rPr>
              <w:t>Capitaliser les réponses en base de connaissances.</w:t>
            </w:r>
          </w:p>
        </w:tc>
        <w:tc>
          <w:tcPr>
            <w:tcW w:type="dxa" w:w="893"/>
            <w:tcMar>
              <w:top w:w="90" w:type="dxa"/>
              <w:start w:w="90" w:type="dxa"/>
              <w:bottom w:w="90" w:type="dxa"/>
              <w:end w:w="90" w:type="dxa"/>
            </w:tcMar>
            <w:vAlign w:val="top"/>
          </w:tcPr>
          <w:p>
            <w:r>
              <w:rPr>
                <w:sz w:val="16"/>
              </w:rPr>
              <w:t>Could</w:t>
            </w:r>
          </w:p>
        </w:tc>
        <w:tc>
          <w:tcPr>
            <w:tcW w:type="dxa" w:w="2952"/>
            <w:tcMar>
              <w:top w:w="90" w:type="dxa"/>
              <w:start w:w="90" w:type="dxa"/>
              <w:bottom w:w="90" w:type="dxa"/>
              <w:end w:w="90" w:type="dxa"/>
            </w:tcMar>
            <w:vAlign w:val="top"/>
          </w:tcPr>
          <w:p>
            <w:r>
              <w:rPr>
                <w:sz w:val="16"/>
              </w:rPr>
              <w:t>Une réponse validée peut être transformée en article FAQ.</w:t>
            </w:r>
          </w:p>
        </w:tc>
      </w:tr>
    </w:tbl>
    <w:p>
      <w:pPr>
        <w:spacing w:after="20"/>
      </w:pPr>
    </w:p>
    <w:p>
      <w:pPr>
        <w:pStyle w:val="Heading1"/>
      </w:pPr>
      <w:r>
        <w:t>13. Groupements professionnels et gouvernance</w:t>
      </w:r>
    </w:p>
    <w:p>
      <w:pPr>
        <w:pStyle w:val="Heading2"/>
      </w:pPr>
      <w:r>
        <w:t>13.1 Gestion des groupements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GRP-001</w:t>
            </w:r>
          </w:p>
        </w:tc>
        <w:tc>
          <w:tcPr>
            <w:tcW w:type="dxa" w:w="4680"/>
            <w:tcMar>
              <w:top w:w="90" w:type="dxa"/>
              <w:start w:w="90" w:type="dxa"/>
              <w:bottom w:w="90" w:type="dxa"/>
              <w:end w:w="90" w:type="dxa"/>
            </w:tcMar>
            <w:vAlign w:val="top"/>
          </w:tcPr>
          <w:p>
            <w:r>
              <w:rPr>
                <w:sz w:val="16"/>
              </w:rPr>
              <w:t>Créer les groupements, responsables, mandats et zones.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Chaque membre est rattaché à un ou plusieurs groupements selon règles.</w:t>
            </w:r>
          </w:p>
        </w:tc>
      </w:tr>
      <w:tr>
        <w:tc>
          <w:tcPr>
            <w:tcW w:type="dxa" w:w="1037"/>
            <w:tcMar>
              <w:top w:w="90" w:type="dxa"/>
              <w:start w:w="90" w:type="dxa"/>
              <w:bottom w:w="90" w:type="dxa"/>
              <w:end w:w="90" w:type="dxa"/>
            </w:tcMar>
            <w:vAlign w:val="top"/>
          </w:tcPr>
          <w:p>
            <w:r>
              <w:rPr>
                <w:sz w:val="16"/>
              </w:rPr>
              <w:t>GRP-002</w:t>
            </w:r>
          </w:p>
        </w:tc>
        <w:tc>
          <w:tcPr>
            <w:tcW w:type="dxa" w:w="4680"/>
            <w:tcMar>
              <w:top w:w="90" w:type="dxa"/>
              <w:start w:w="90" w:type="dxa"/>
              <w:bottom w:w="90" w:type="dxa"/>
              <w:end w:w="90" w:type="dxa"/>
            </w:tcMar>
            <w:vAlign w:val="top"/>
          </w:tcPr>
          <w:p>
            <w:r>
              <w:rPr>
                <w:sz w:val="16"/>
              </w:rPr>
              <w:t>Attribuer un portefeuille de prospects et membres.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groupement ne voit que son périmètre autorisé.</w:t>
            </w:r>
          </w:p>
        </w:tc>
      </w:tr>
      <w:tr>
        <w:tc>
          <w:tcPr>
            <w:tcW w:type="dxa" w:w="1037"/>
            <w:tcMar>
              <w:top w:w="90" w:type="dxa"/>
              <w:start w:w="90" w:type="dxa"/>
              <w:bottom w:w="90" w:type="dxa"/>
              <w:end w:w="90" w:type="dxa"/>
            </w:tcMar>
            <w:vAlign w:val="top"/>
          </w:tcPr>
          <w:p>
            <w:r>
              <w:rPr>
                <w:sz w:val="16"/>
              </w:rPr>
              <w:t>GRP-003</w:t>
            </w:r>
          </w:p>
        </w:tc>
        <w:tc>
          <w:tcPr>
            <w:tcW w:type="dxa" w:w="4680"/>
            <w:tcMar>
              <w:top w:w="90" w:type="dxa"/>
              <w:start w:w="90" w:type="dxa"/>
              <w:bottom w:w="90" w:type="dxa"/>
              <w:end w:w="90" w:type="dxa"/>
            </w:tcMar>
            <w:vAlign w:val="top"/>
          </w:tcPr>
          <w:p>
            <w:r>
              <w:rPr>
                <w:sz w:val="16"/>
              </w:rPr>
              <w:t>Suivre objectifs d’enrôlement, cotisation et réactivation.</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Les objectifs et réalisations sont comparables par période.</w:t>
            </w:r>
          </w:p>
        </w:tc>
      </w:tr>
      <w:tr>
        <w:tc>
          <w:tcPr>
            <w:tcW w:type="dxa" w:w="1037"/>
            <w:tcMar>
              <w:top w:w="90" w:type="dxa"/>
              <w:start w:w="90" w:type="dxa"/>
              <w:bottom w:w="90" w:type="dxa"/>
              <w:end w:w="90" w:type="dxa"/>
            </w:tcMar>
            <w:vAlign w:val="top"/>
          </w:tcPr>
          <w:p>
            <w:r>
              <w:rPr>
                <w:sz w:val="16"/>
              </w:rPr>
              <w:t>GRP-004</w:t>
            </w:r>
          </w:p>
        </w:tc>
        <w:tc>
          <w:tcPr>
            <w:tcW w:type="dxa" w:w="4680"/>
            <w:tcMar>
              <w:top w:w="90" w:type="dxa"/>
              <w:start w:w="90" w:type="dxa"/>
              <w:bottom w:w="90" w:type="dxa"/>
              <w:end w:w="90" w:type="dxa"/>
            </w:tcMar>
            <w:vAlign w:val="top"/>
          </w:tcPr>
          <w:p>
            <w:r>
              <w:rPr>
                <w:sz w:val="16"/>
              </w:rPr>
              <w:t>Former et habiliter des référents de groupement.</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Le système suit habilitation, date de formation et expiration.</w:t>
            </w:r>
          </w:p>
        </w:tc>
      </w:tr>
      <w:tr>
        <w:tc>
          <w:tcPr>
            <w:tcW w:type="dxa" w:w="1037"/>
            <w:tcMar>
              <w:top w:w="90" w:type="dxa"/>
              <w:start w:w="90" w:type="dxa"/>
              <w:bottom w:w="90" w:type="dxa"/>
              <w:end w:w="90" w:type="dxa"/>
            </w:tcMar>
            <w:vAlign w:val="top"/>
          </w:tcPr>
          <w:p>
            <w:r>
              <w:rPr>
                <w:sz w:val="16"/>
              </w:rPr>
              <w:t>GRP-005</w:t>
            </w:r>
          </w:p>
        </w:tc>
        <w:tc>
          <w:tcPr>
            <w:tcW w:type="dxa" w:w="4680"/>
            <w:tcMar>
              <w:top w:w="90" w:type="dxa"/>
              <w:start w:w="90" w:type="dxa"/>
              <w:bottom w:w="90" w:type="dxa"/>
              <w:end w:w="90" w:type="dxa"/>
            </w:tcMar>
            <w:vAlign w:val="top"/>
          </w:tcPr>
          <w:p>
            <w:r>
              <w:rPr>
                <w:sz w:val="16"/>
              </w:rPr>
              <w:t>Gérer les commissions, membres, mandats et documents.</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L’historique des compositions est conservé.</w:t>
            </w:r>
          </w:p>
        </w:tc>
      </w:tr>
      <w:tr>
        <w:tc>
          <w:tcPr>
            <w:tcW w:type="dxa" w:w="1037"/>
            <w:tcMar>
              <w:top w:w="90" w:type="dxa"/>
              <w:start w:w="90" w:type="dxa"/>
              <w:bottom w:w="90" w:type="dxa"/>
              <w:end w:w="90" w:type="dxa"/>
            </w:tcMar>
            <w:vAlign w:val="top"/>
          </w:tcPr>
          <w:p>
            <w:r>
              <w:rPr>
                <w:sz w:val="16"/>
              </w:rPr>
              <w:t>GRP-006</w:t>
            </w:r>
          </w:p>
        </w:tc>
        <w:tc>
          <w:tcPr>
            <w:tcW w:type="dxa" w:w="4680"/>
            <w:tcMar>
              <w:top w:w="90" w:type="dxa"/>
              <w:start w:w="90" w:type="dxa"/>
              <w:bottom w:w="90" w:type="dxa"/>
              <w:end w:w="90" w:type="dxa"/>
            </w:tcMar>
            <w:vAlign w:val="top"/>
          </w:tcPr>
          <w:p>
            <w:r>
              <w:rPr>
                <w:sz w:val="16"/>
              </w:rPr>
              <w:t>Produire des tableaux de bord sectoriels.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Encaissements, adhésions, retard et engagement par groupement.</w:t>
            </w:r>
          </w:p>
        </w:tc>
      </w:tr>
    </w:tbl>
    <w:p>
      <w:pPr>
        <w:spacing w:after="20"/>
      </w:pPr>
    </w:p>
    <w:p>
      <w:pPr>
        <w:pStyle w:val="Heading2"/>
      </w:pPr>
      <w:r>
        <w:t>13.2 Réunions, décisions et votes</w:t>
      </w:r>
    </w:p>
    <w:p>
      <w:pPr>
        <w:pStyle w:val="ListBullet"/>
      </w:pPr>
      <w:r>
        <w:t>Planification des réunions, convocations, ordre du jour, présence et quorum.</w:t>
      </w:r>
    </w:p>
    <w:p>
      <w:pPr>
        <w:pStyle w:val="ListBullet"/>
      </w:pPr>
      <w:r>
        <w:t>Dépôt des documents préparatoires avec contrôle de version et confidentialité.</w:t>
      </w:r>
    </w:p>
    <w:p>
      <w:pPr>
        <w:pStyle w:val="ListBullet"/>
      </w:pPr>
      <w:r>
        <w:t>Procès-verbal, décisions, responsables, échéances et suivi d’exécution.</w:t>
      </w:r>
    </w:p>
    <w:p>
      <w:pPr>
        <w:pStyle w:val="ListBullet"/>
      </w:pPr>
      <w:r>
        <w:t>Vote électronique optionnel avec règles de quorum, droits de vote et audit.</w:t>
      </w:r>
    </w:p>
    <w:p>
      <w:pPr>
        <w:pStyle w:val="ListBullet"/>
      </w:pPr>
      <w:r>
        <w:t>Calendrier institutionnel partagé et notifications aux représentants autorisés.</w:t>
      </w:r>
    </w:p>
    <w:p>
      <w:pPr>
        <w:pStyle w:val="Heading1"/>
      </w:pPr>
      <w:r>
        <w:t>14. Primes de mobilisation et partage de revenus</w:t>
      </w:r>
    </w:p>
    <w:p>
      <w:pPr>
        <w:pStyle w:val="Heading2"/>
      </w:pPr>
      <w:r>
        <w:t>14.1 Moteur de primes</w:t>
      </w:r>
    </w:p>
    <w:p>
      <w:r>
        <w:t>Conformément aux TDR, chaque encaissement doit pouvoir déterminer la catégorie de mobilisation et calculer la prime de l’agent ou du canal concerné. Les taux sont paramétrables et validés par la commission interne.</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376"/>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Catégorie</w:t>
            </w:r>
          </w:p>
        </w:tc>
        <w:tc>
          <w:tcPr>
            <w:tcW w:type="dxa" w:w="727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Traitement</w:t>
            </w:r>
          </w:p>
        </w:tc>
      </w:tr>
      <w:tr>
        <w:tc>
          <w:tcPr>
            <w:tcW w:type="dxa" w:w="2376"/>
            <w:tcMar>
              <w:top w:w="90" w:type="dxa"/>
              <w:start w:w="90" w:type="dxa"/>
              <w:bottom w:w="90" w:type="dxa"/>
              <w:end w:w="90" w:type="dxa"/>
            </w:tcMar>
            <w:vAlign w:val="top"/>
          </w:tcPr>
          <w:p>
            <w:r>
              <w:rPr>
                <w:sz w:val="17"/>
              </w:rPr>
              <w:t>Nouveau cotisant</w:t>
            </w:r>
          </w:p>
        </w:tc>
        <w:tc>
          <w:tcPr>
            <w:tcW w:type="dxa" w:w="7272"/>
            <w:tcMar>
              <w:top w:w="90" w:type="dxa"/>
              <w:start w:w="90" w:type="dxa"/>
              <w:bottom w:w="90" w:type="dxa"/>
              <w:end w:w="90" w:type="dxa"/>
            </w:tcMar>
            <w:vAlign w:val="top"/>
          </w:tcPr>
          <w:p>
            <w:r>
              <w:rPr>
                <w:sz w:val="17"/>
              </w:rPr>
              <w:t>Taux de prime généralement le plus élevé; attribution au canal d’acquisition validé.</w:t>
            </w:r>
          </w:p>
        </w:tc>
      </w:tr>
      <w:tr>
        <w:tc>
          <w:tcPr>
            <w:tcW w:type="dxa" w:w="2376"/>
            <w:tcMar>
              <w:top w:w="90" w:type="dxa"/>
              <w:start w:w="90" w:type="dxa"/>
              <w:bottom w:w="90" w:type="dxa"/>
              <w:end w:w="90" w:type="dxa"/>
            </w:tcMar>
            <w:vAlign w:val="top"/>
          </w:tcPr>
          <w:p>
            <w:r>
              <w:rPr>
                <w:sz w:val="17"/>
              </w:rPr>
              <w:t>Dormant réactivé</w:t>
            </w:r>
          </w:p>
        </w:tc>
        <w:tc>
          <w:tcPr>
            <w:tcW w:type="dxa" w:w="7272"/>
            <w:tcMar>
              <w:top w:w="90" w:type="dxa"/>
              <w:start w:w="90" w:type="dxa"/>
              <w:bottom w:w="90" w:type="dxa"/>
              <w:end w:w="90" w:type="dxa"/>
            </w:tcMar>
            <w:vAlign w:val="top"/>
          </w:tcPr>
          <w:p>
            <w:r>
              <w:rPr>
                <w:sz w:val="17"/>
              </w:rPr>
              <w:t>Taux intermédiaire; preuve de réactivation et période d’inactivité requises.</w:t>
            </w:r>
          </w:p>
        </w:tc>
      </w:tr>
      <w:tr>
        <w:tc>
          <w:tcPr>
            <w:tcW w:type="dxa" w:w="2376"/>
            <w:tcMar>
              <w:top w:w="90" w:type="dxa"/>
              <w:start w:w="90" w:type="dxa"/>
              <w:bottom w:w="90" w:type="dxa"/>
              <w:end w:w="90" w:type="dxa"/>
            </w:tcMar>
            <w:vAlign w:val="top"/>
          </w:tcPr>
          <w:p>
            <w:r>
              <w:rPr>
                <w:sz w:val="17"/>
              </w:rPr>
              <w:t>Actif avec augmentation</w:t>
            </w:r>
          </w:p>
        </w:tc>
        <w:tc>
          <w:tcPr>
            <w:tcW w:type="dxa" w:w="7272"/>
            <w:tcMar>
              <w:top w:w="90" w:type="dxa"/>
              <w:start w:w="90" w:type="dxa"/>
              <w:bottom w:w="90" w:type="dxa"/>
              <w:end w:w="90" w:type="dxa"/>
            </w:tcMar>
            <w:vAlign w:val="top"/>
          </w:tcPr>
          <w:p>
            <w:r>
              <w:rPr>
                <w:sz w:val="17"/>
              </w:rPr>
              <w:t>Prime calculée sur l’augmentation ou selon règle approuvée.</w:t>
            </w:r>
          </w:p>
        </w:tc>
      </w:tr>
      <w:tr>
        <w:tc>
          <w:tcPr>
            <w:tcW w:type="dxa" w:w="2376"/>
            <w:tcMar>
              <w:top w:w="90" w:type="dxa"/>
              <w:start w:w="90" w:type="dxa"/>
              <w:bottom w:w="90" w:type="dxa"/>
              <w:end w:w="90" w:type="dxa"/>
            </w:tcMar>
            <w:vAlign w:val="top"/>
          </w:tcPr>
          <w:p>
            <w:r>
              <w:rPr>
                <w:sz w:val="17"/>
              </w:rPr>
              <w:t>Actif sans changement</w:t>
            </w:r>
          </w:p>
        </w:tc>
        <w:tc>
          <w:tcPr>
            <w:tcW w:type="dxa" w:w="7272"/>
            <w:tcMar>
              <w:top w:w="90" w:type="dxa"/>
              <w:start w:w="90" w:type="dxa"/>
              <w:bottom w:w="90" w:type="dxa"/>
              <w:end w:w="90" w:type="dxa"/>
            </w:tcMar>
            <w:vAlign w:val="top"/>
          </w:tcPr>
          <w:p>
            <w:r>
              <w:rPr>
                <w:sz w:val="17"/>
              </w:rPr>
              <w:t>Taux réduit ou nul selon politique CNPM.</w:t>
            </w:r>
          </w:p>
        </w:tc>
      </w:tr>
      <w:tr>
        <w:tc>
          <w:tcPr>
            <w:tcW w:type="dxa" w:w="2376"/>
            <w:tcMar>
              <w:top w:w="90" w:type="dxa"/>
              <w:start w:w="90" w:type="dxa"/>
              <w:bottom w:w="90" w:type="dxa"/>
              <w:end w:w="90" w:type="dxa"/>
            </w:tcMar>
            <w:vAlign w:val="top"/>
          </w:tcPr>
          <w:p>
            <w:r>
              <w:rPr>
                <w:sz w:val="17"/>
              </w:rPr>
              <w:t>Grand cotisant</w:t>
            </w:r>
          </w:p>
        </w:tc>
        <w:tc>
          <w:tcPr>
            <w:tcW w:type="dxa" w:w="7272"/>
            <w:tcMar>
              <w:top w:w="90" w:type="dxa"/>
              <w:start w:w="90" w:type="dxa"/>
              <w:bottom w:w="90" w:type="dxa"/>
              <w:end w:w="90" w:type="dxa"/>
            </w:tcMar>
            <w:vAlign w:val="top"/>
          </w:tcPr>
          <w:p>
            <w:r>
              <w:rPr>
                <w:sz w:val="17"/>
              </w:rPr>
              <w:t>Règle spécifique, plafond et validation renforcée possibles.</w:t>
            </w:r>
          </w:p>
        </w:tc>
      </w:tr>
      <w:tr>
        <w:tc>
          <w:tcPr>
            <w:tcW w:type="dxa" w:w="2376"/>
            <w:tcMar>
              <w:top w:w="90" w:type="dxa"/>
              <w:start w:w="90" w:type="dxa"/>
              <w:bottom w:w="90" w:type="dxa"/>
              <w:end w:w="90" w:type="dxa"/>
            </w:tcMar>
            <w:vAlign w:val="top"/>
          </w:tcPr>
          <w:p>
            <w:r>
              <w:rPr>
                <w:sz w:val="17"/>
              </w:rPr>
              <w:t>Attribution multiple</w:t>
            </w:r>
          </w:p>
        </w:tc>
        <w:tc>
          <w:tcPr>
            <w:tcW w:type="dxa" w:w="7272"/>
            <w:tcMar>
              <w:top w:w="90" w:type="dxa"/>
              <w:start w:w="90" w:type="dxa"/>
              <w:bottom w:w="90" w:type="dxa"/>
              <w:end w:w="90" w:type="dxa"/>
            </w:tcMar>
            <w:vAlign w:val="top"/>
          </w:tcPr>
          <w:p>
            <w:r>
              <w:rPr>
                <w:sz w:val="17"/>
              </w:rPr>
              <w:t>Clé de partage paramétrable entre agent, groupement et partenaire.</w:t>
            </w:r>
          </w:p>
        </w:tc>
      </w:tr>
    </w:tbl>
    <w:p>
      <w:pPr>
        <w:spacing w:after="20"/>
      </w:pPr>
    </w:p>
    <w:p>
      <w:pPr>
        <w:pStyle w:val="Heading2"/>
      </w:pPr>
      <w:r>
        <w:t>14.2 Exigences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PRI-001</w:t>
            </w:r>
          </w:p>
        </w:tc>
        <w:tc>
          <w:tcPr>
            <w:tcW w:type="dxa" w:w="4680"/>
            <w:tcMar>
              <w:top w:w="90" w:type="dxa"/>
              <w:start w:w="90" w:type="dxa"/>
              <w:bottom w:w="90" w:type="dxa"/>
              <w:end w:w="90" w:type="dxa"/>
            </w:tcMar>
            <w:vAlign w:val="top"/>
          </w:tcPr>
          <w:p>
            <w:r>
              <w:rPr>
                <w:sz w:val="16"/>
              </w:rPr>
              <w:t>Associer chaque encaissement à une catégorie de mobilisation.</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La catégorie est déterminée par règle et peut être corrigée avec validation.</w:t>
            </w:r>
          </w:p>
        </w:tc>
      </w:tr>
      <w:tr>
        <w:tc>
          <w:tcPr>
            <w:tcW w:type="dxa" w:w="1037"/>
            <w:tcMar>
              <w:top w:w="90" w:type="dxa"/>
              <w:start w:w="90" w:type="dxa"/>
              <w:bottom w:w="90" w:type="dxa"/>
              <w:end w:w="90" w:type="dxa"/>
            </w:tcMar>
            <w:vAlign w:val="top"/>
          </w:tcPr>
          <w:p>
            <w:r>
              <w:rPr>
                <w:sz w:val="16"/>
              </w:rPr>
              <w:t>PRI-002</w:t>
            </w:r>
          </w:p>
        </w:tc>
        <w:tc>
          <w:tcPr>
            <w:tcW w:type="dxa" w:w="4680"/>
            <w:tcMar>
              <w:top w:w="90" w:type="dxa"/>
              <w:start w:w="90" w:type="dxa"/>
              <w:bottom w:w="90" w:type="dxa"/>
              <w:end w:w="90" w:type="dxa"/>
            </w:tcMar>
            <w:vAlign w:val="top"/>
          </w:tcPr>
          <w:p>
            <w:r>
              <w:rPr>
                <w:sz w:val="16"/>
              </w:rPr>
              <w:t>Calculer automatiquement la prime selon taux, base et plafonds.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détail de calcul est explicable et exportable.</w:t>
            </w:r>
          </w:p>
        </w:tc>
      </w:tr>
      <w:tr>
        <w:tc>
          <w:tcPr>
            <w:tcW w:type="dxa" w:w="1037"/>
            <w:tcMar>
              <w:top w:w="90" w:type="dxa"/>
              <w:start w:w="90" w:type="dxa"/>
              <w:bottom w:w="90" w:type="dxa"/>
              <w:end w:w="90" w:type="dxa"/>
            </w:tcMar>
            <w:vAlign w:val="top"/>
          </w:tcPr>
          <w:p>
            <w:r>
              <w:rPr>
                <w:sz w:val="16"/>
              </w:rPr>
              <w:t>PRI-003</w:t>
            </w:r>
          </w:p>
        </w:tc>
        <w:tc>
          <w:tcPr>
            <w:tcW w:type="dxa" w:w="4680"/>
            <w:tcMar>
              <w:top w:w="90" w:type="dxa"/>
              <w:start w:w="90" w:type="dxa"/>
              <w:bottom w:w="90" w:type="dxa"/>
              <w:end w:w="90" w:type="dxa"/>
            </w:tcMar>
            <w:vAlign w:val="top"/>
          </w:tcPr>
          <w:p>
            <w:r>
              <w:rPr>
                <w:sz w:val="16"/>
              </w:rPr>
              <w:t>Gérer contestations, corrections et rétrocessions.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Aucune suppression; les ajustements sont tracés.</w:t>
            </w:r>
          </w:p>
        </w:tc>
      </w:tr>
      <w:tr>
        <w:tc>
          <w:tcPr>
            <w:tcW w:type="dxa" w:w="1037"/>
            <w:tcMar>
              <w:top w:w="90" w:type="dxa"/>
              <w:start w:w="90" w:type="dxa"/>
              <w:bottom w:w="90" w:type="dxa"/>
              <w:end w:w="90" w:type="dxa"/>
            </w:tcMar>
            <w:vAlign w:val="top"/>
          </w:tcPr>
          <w:p>
            <w:r>
              <w:rPr>
                <w:sz w:val="16"/>
              </w:rPr>
              <w:t>PRI-004</w:t>
            </w:r>
          </w:p>
        </w:tc>
        <w:tc>
          <w:tcPr>
            <w:tcW w:type="dxa" w:w="4680"/>
            <w:tcMar>
              <w:top w:w="90" w:type="dxa"/>
              <w:start w:w="90" w:type="dxa"/>
              <w:bottom w:w="90" w:type="dxa"/>
              <w:end w:w="90" w:type="dxa"/>
            </w:tcMar>
            <w:vAlign w:val="top"/>
          </w:tcPr>
          <w:p>
            <w:r>
              <w:rPr>
                <w:sz w:val="16"/>
              </w:rPr>
              <w:t>Produire un état mensuel soumis à commission de vérification.</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État par agent, catégorie, membre, encaissement et montant.</w:t>
            </w:r>
          </w:p>
        </w:tc>
      </w:tr>
      <w:tr>
        <w:tc>
          <w:tcPr>
            <w:tcW w:type="dxa" w:w="1037"/>
            <w:tcMar>
              <w:top w:w="90" w:type="dxa"/>
              <w:start w:w="90" w:type="dxa"/>
              <w:bottom w:w="90" w:type="dxa"/>
              <w:end w:w="90" w:type="dxa"/>
            </w:tcMar>
            <w:vAlign w:val="top"/>
          </w:tcPr>
          <w:p>
            <w:r>
              <w:rPr>
                <w:sz w:val="16"/>
              </w:rPr>
              <w:t>PRI-005</w:t>
            </w:r>
          </w:p>
        </w:tc>
        <w:tc>
          <w:tcPr>
            <w:tcW w:type="dxa" w:w="4680"/>
            <w:tcMar>
              <w:top w:w="90" w:type="dxa"/>
              <w:start w:w="90" w:type="dxa"/>
              <w:bottom w:w="90" w:type="dxa"/>
              <w:end w:w="90" w:type="dxa"/>
            </w:tcMar>
            <w:vAlign w:val="top"/>
          </w:tcPr>
          <w:p>
            <w:r>
              <w:rPr>
                <w:sz w:val="16"/>
              </w:rPr>
              <w:t>Valider puis figer la période de prime.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Une période clôturée ne change que par réouverture autorisée.</w:t>
            </w:r>
          </w:p>
        </w:tc>
      </w:tr>
      <w:tr>
        <w:tc>
          <w:tcPr>
            <w:tcW w:type="dxa" w:w="1037"/>
            <w:tcMar>
              <w:top w:w="90" w:type="dxa"/>
              <w:start w:w="90" w:type="dxa"/>
              <w:bottom w:w="90" w:type="dxa"/>
              <w:end w:w="90" w:type="dxa"/>
            </w:tcMar>
            <w:vAlign w:val="top"/>
          </w:tcPr>
          <w:p>
            <w:r>
              <w:rPr>
                <w:sz w:val="16"/>
              </w:rPr>
              <w:t>PRI-006</w:t>
            </w:r>
          </w:p>
        </w:tc>
        <w:tc>
          <w:tcPr>
            <w:tcW w:type="dxa" w:w="4680"/>
            <w:tcMar>
              <w:top w:w="90" w:type="dxa"/>
              <w:start w:w="90" w:type="dxa"/>
              <w:bottom w:w="90" w:type="dxa"/>
              <w:end w:w="90" w:type="dxa"/>
            </w:tcMar>
            <w:vAlign w:val="top"/>
          </w:tcPr>
          <w:p>
            <w:r>
              <w:rPr>
                <w:sz w:val="16"/>
              </w:rPr>
              <w:t>Calculer la rémunération du prestataire sur encaissements éligibles.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Les cotisants maintenus sur l’ancien système sont exclus.</w:t>
            </w:r>
          </w:p>
        </w:tc>
      </w:tr>
      <w:tr>
        <w:tc>
          <w:tcPr>
            <w:tcW w:type="dxa" w:w="1037"/>
            <w:tcMar>
              <w:top w:w="90" w:type="dxa"/>
              <w:start w:w="90" w:type="dxa"/>
              <w:bottom w:w="90" w:type="dxa"/>
              <w:end w:w="90" w:type="dxa"/>
            </w:tcMar>
            <w:vAlign w:val="top"/>
          </w:tcPr>
          <w:p>
            <w:r>
              <w:rPr>
                <w:sz w:val="16"/>
              </w:rPr>
              <w:t>PRI-007</w:t>
            </w:r>
          </w:p>
        </w:tc>
        <w:tc>
          <w:tcPr>
            <w:tcW w:type="dxa" w:w="4680"/>
            <w:tcMar>
              <w:top w:w="90" w:type="dxa"/>
              <w:start w:w="90" w:type="dxa"/>
              <w:bottom w:w="90" w:type="dxa"/>
              <w:end w:w="90" w:type="dxa"/>
            </w:tcMar>
            <w:vAlign w:val="top"/>
          </w:tcPr>
          <w:p>
            <w:r>
              <w:rPr>
                <w:sz w:val="16"/>
              </w:rPr>
              <w:t>Comparer encaissement brut, frais canal, prime et net CNPM.</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Le rapport de réconciliation détaille chaque composante.</w:t>
            </w:r>
          </w:p>
        </w:tc>
      </w:tr>
    </w:tbl>
    <w:p>
      <w:pPr>
        <w:spacing w:after="20"/>
      </w:pPr>
    </w:p>
    <w:p>
      <w:pPr>
        <w:pStyle w:val="Heading1"/>
      </w:pPr>
      <w:r>
        <w:t>15. GED, communication et événements</w:t>
      </w:r>
    </w:p>
    <w:p>
      <w:pPr>
        <w:pStyle w:val="Heading2"/>
      </w:pPr>
      <w:r>
        <w:t>15.1 Gestion électronique des documents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GED-001</w:t>
            </w:r>
          </w:p>
        </w:tc>
        <w:tc>
          <w:tcPr>
            <w:tcW w:type="dxa" w:w="4680"/>
            <w:tcMar>
              <w:top w:w="90" w:type="dxa"/>
              <w:start w:w="90" w:type="dxa"/>
              <w:bottom w:w="90" w:type="dxa"/>
              <w:end w:w="90" w:type="dxa"/>
            </w:tcMar>
            <w:vAlign w:val="top"/>
          </w:tcPr>
          <w:p>
            <w:r>
              <w:rPr>
                <w:sz w:val="16"/>
              </w:rPr>
              <w:t>Stocker les documents avec type, version, date, auteur et confidentialité.</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Chaque document est rattaché à un objet métier et historisé.</w:t>
            </w:r>
          </w:p>
        </w:tc>
      </w:tr>
      <w:tr>
        <w:tc>
          <w:tcPr>
            <w:tcW w:type="dxa" w:w="1037"/>
            <w:tcMar>
              <w:top w:w="90" w:type="dxa"/>
              <w:start w:w="90" w:type="dxa"/>
              <w:bottom w:w="90" w:type="dxa"/>
              <w:end w:w="90" w:type="dxa"/>
            </w:tcMar>
            <w:vAlign w:val="top"/>
          </w:tcPr>
          <w:p>
            <w:r>
              <w:rPr>
                <w:sz w:val="16"/>
              </w:rPr>
              <w:t>GED-002</w:t>
            </w:r>
          </w:p>
        </w:tc>
        <w:tc>
          <w:tcPr>
            <w:tcW w:type="dxa" w:w="4680"/>
            <w:tcMar>
              <w:top w:w="90" w:type="dxa"/>
              <w:start w:w="90" w:type="dxa"/>
              <w:bottom w:w="90" w:type="dxa"/>
              <w:end w:w="90" w:type="dxa"/>
            </w:tcMar>
            <w:vAlign w:val="top"/>
          </w:tcPr>
          <w:p>
            <w:r>
              <w:rPr>
                <w:sz w:val="16"/>
              </w:rPr>
              <w:t>Analyser les fichiers par antivirus et contrôler extensions/tailles.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Un fichier dangereux est bloqué et l’incident journalisé.</w:t>
            </w:r>
          </w:p>
        </w:tc>
      </w:tr>
      <w:tr>
        <w:tc>
          <w:tcPr>
            <w:tcW w:type="dxa" w:w="1037"/>
            <w:tcMar>
              <w:top w:w="90" w:type="dxa"/>
              <w:start w:w="90" w:type="dxa"/>
              <w:bottom w:w="90" w:type="dxa"/>
              <w:end w:w="90" w:type="dxa"/>
            </w:tcMar>
            <w:vAlign w:val="top"/>
          </w:tcPr>
          <w:p>
            <w:r>
              <w:rPr>
                <w:sz w:val="16"/>
              </w:rPr>
              <w:t>GED-003</w:t>
            </w:r>
          </w:p>
        </w:tc>
        <w:tc>
          <w:tcPr>
            <w:tcW w:type="dxa" w:w="4680"/>
            <w:tcMar>
              <w:top w:w="90" w:type="dxa"/>
              <w:start w:w="90" w:type="dxa"/>
              <w:bottom w:w="90" w:type="dxa"/>
              <w:end w:w="90" w:type="dxa"/>
            </w:tcMar>
            <w:vAlign w:val="top"/>
          </w:tcPr>
          <w:p>
            <w:r>
              <w:rPr>
                <w:sz w:val="16"/>
              </w:rPr>
              <w:t>Gérer expiration des pièces et alertes de renouvellement.</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membre et le gestionnaire sont alertés avant échéance.</w:t>
            </w:r>
          </w:p>
        </w:tc>
      </w:tr>
      <w:tr>
        <w:tc>
          <w:tcPr>
            <w:tcW w:type="dxa" w:w="1037"/>
            <w:tcMar>
              <w:top w:w="90" w:type="dxa"/>
              <w:start w:w="90" w:type="dxa"/>
              <w:bottom w:w="90" w:type="dxa"/>
              <w:end w:w="90" w:type="dxa"/>
            </w:tcMar>
            <w:vAlign w:val="top"/>
          </w:tcPr>
          <w:p>
            <w:r>
              <w:rPr>
                <w:sz w:val="16"/>
              </w:rPr>
              <w:t>GED-004</w:t>
            </w:r>
          </w:p>
        </w:tc>
        <w:tc>
          <w:tcPr>
            <w:tcW w:type="dxa" w:w="4680"/>
            <w:tcMar>
              <w:top w:w="90" w:type="dxa"/>
              <w:start w:w="90" w:type="dxa"/>
              <w:bottom w:w="90" w:type="dxa"/>
              <w:end w:w="90" w:type="dxa"/>
            </w:tcMar>
            <w:vAlign w:val="top"/>
          </w:tcPr>
          <w:p>
            <w:r>
              <w:rPr>
                <w:sz w:val="16"/>
              </w:rPr>
              <w:t>Appliquer des durées de conservation et gel légal.</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La suppression respecte la politique et les litiges en cours.</w:t>
            </w:r>
          </w:p>
        </w:tc>
      </w:tr>
      <w:tr>
        <w:tc>
          <w:tcPr>
            <w:tcW w:type="dxa" w:w="1037"/>
            <w:tcMar>
              <w:top w:w="90" w:type="dxa"/>
              <w:start w:w="90" w:type="dxa"/>
              <w:bottom w:w="90" w:type="dxa"/>
              <w:end w:w="90" w:type="dxa"/>
            </w:tcMar>
            <w:vAlign w:val="top"/>
          </w:tcPr>
          <w:p>
            <w:r>
              <w:rPr>
                <w:sz w:val="16"/>
              </w:rPr>
              <w:t>GED-005</w:t>
            </w:r>
          </w:p>
        </w:tc>
        <w:tc>
          <w:tcPr>
            <w:tcW w:type="dxa" w:w="4680"/>
            <w:tcMar>
              <w:top w:w="90" w:type="dxa"/>
              <w:start w:w="90" w:type="dxa"/>
              <w:bottom w:w="90" w:type="dxa"/>
              <w:end w:w="90" w:type="dxa"/>
            </w:tcMar>
            <w:vAlign w:val="top"/>
          </w:tcPr>
          <w:p>
            <w:r>
              <w:rPr>
                <w:sz w:val="16"/>
              </w:rPr>
              <w:t>Rechercher par métadonnées et contenu OCR.</w:t>
            </w:r>
          </w:p>
        </w:tc>
        <w:tc>
          <w:tcPr>
            <w:tcW w:type="dxa" w:w="893"/>
            <w:tcMar>
              <w:top w:w="90" w:type="dxa"/>
              <w:start w:w="90" w:type="dxa"/>
              <w:bottom w:w="90" w:type="dxa"/>
              <w:end w:w="90" w:type="dxa"/>
            </w:tcMar>
            <w:vAlign w:val="top"/>
          </w:tcPr>
          <w:p>
            <w:r>
              <w:rPr>
                <w:sz w:val="16"/>
              </w:rPr>
              <w:t>Could</w:t>
            </w:r>
          </w:p>
        </w:tc>
        <w:tc>
          <w:tcPr>
            <w:tcW w:type="dxa" w:w="2952"/>
            <w:tcMar>
              <w:top w:w="90" w:type="dxa"/>
              <w:start w:w="90" w:type="dxa"/>
              <w:bottom w:w="90" w:type="dxa"/>
              <w:end w:w="90" w:type="dxa"/>
            </w:tcMar>
            <w:vAlign w:val="top"/>
          </w:tcPr>
          <w:p>
            <w:r>
              <w:rPr>
                <w:sz w:val="16"/>
              </w:rPr>
              <w:t>Les scans lisibles deviennent interrogeables.</w:t>
            </w:r>
          </w:p>
        </w:tc>
      </w:tr>
      <w:tr>
        <w:tc>
          <w:tcPr>
            <w:tcW w:type="dxa" w:w="1037"/>
            <w:tcMar>
              <w:top w:w="90" w:type="dxa"/>
              <w:start w:w="90" w:type="dxa"/>
              <w:bottom w:w="90" w:type="dxa"/>
              <w:end w:w="90" w:type="dxa"/>
            </w:tcMar>
            <w:vAlign w:val="top"/>
          </w:tcPr>
          <w:p>
            <w:r>
              <w:rPr>
                <w:sz w:val="16"/>
              </w:rPr>
              <w:t>GED-006</w:t>
            </w:r>
          </w:p>
        </w:tc>
        <w:tc>
          <w:tcPr>
            <w:tcW w:type="dxa" w:w="4680"/>
            <w:tcMar>
              <w:top w:w="90" w:type="dxa"/>
              <w:start w:w="90" w:type="dxa"/>
              <w:bottom w:w="90" w:type="dxa"/>
              <w:end w:w="90" w:type="dxa"/>
            </w:tcMar>
            <w:vAlign w:val="top"/>
          </w:tcPr>
          <w:p>
            <w:r>
              <w:rPr>
                <w:sz w:val="16"/>
              </w:rPr>
              <w:t>Générer les documents depuis des modèles approuvés.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Les données fusionnées sont contrôlées et le modèle versionné.</w:t>
            </w:r>
          </w:p>
        </w:tc>
      </w:tr>
    </w:tbl>
    <w:p>
      <w:pPr>
        <w:spacing w:after="20"/>
      </w:pPr>
    </w:p>
    <w:p>
      <w:pPr>
        <w:pStyle w:val="Heading2"/>
      </w:pPr>
      <w:r>
        <w:t>15.2 Communication omnicanale</w:t>
      </w:r>
    </w:p>
    <w:p>
      <w:pPr>
        <w:pStyle w:val="ListBullet"/>
      </w:pPr>
      <w:r>
        <w:t>Campagnes e-mail, SMS, push et courrier, avec segmentation dynamique.</w:t>
      </w:r>
    </w:p>
    <w:p>
      <w:pPr>
        <w:pStyle w:val="ListBullet"/>
      </w:pPr>
      <w:r>
        <w:t>Modèles validés, variables contrôlées, aperçu, test et calendrier d’envoi.</w:t>
      </w:r>
    </w:p>
    <w:p>
      <w:pPr>
        <w:pStyle w:val="ListBullet"/>
      </w:pPr>
      <w:r>
        <w:t>Gestion des rebonds, accusés de réception, liens cliqués et désabonnements.</w:t>
      </w:r>
    </w:p>
    <w:p>
      <w:pPr>
        <w:pStyle w:val="ListBullet"/>
      </w:pPr>
      <w:r>
        <w:t>Centre de notifications interne au portail et boîte de messages institutionnels.</w:t>
      </w:r>
    </w:p>
    <w:p>
      <w:pPr>
        <w:pStyle w:val="ListBullet"/>
      </w:pPr>
      <w:r>
        <w:t>Journal complet des communications sortantes et entrantes.</w:t>
      </w:r>
    </w:p>
    <w:p>
      <w:pPr>
        <w:pStyle w:val="Heading2"/>
      </w:pPr>
      <w:r>
        <w:t>15.3 Événements et formations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EVT-001</w:t>
            </w:r>
          </w:p>
        </w:tc>
        <w:tc>
          <w:tcPr>
            <w:tcW w:type="dxa" w:w="4680"/>
            <w:tcMar>
              <w:top w:w="90" w:type="dxa"/>
              <w:start w:w="90" w:type="dxa"/>
              <w:bottom w:w="90" w:type="dxa"/>
              <w:end w:w="90" w:type="dxa"/>
            </w:tcMar>
            <w:vAlign w:val="top"/>
          </w:tcPr>
          <w:p>
            <w:r>
              <w:rPr>
                <w:sz w:val="16"/>
              </w:rPr>
              <w:t>Créer événements, sessions, capacités, lieux et publics cibles.</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Les inscriptions sont limitées selon critères et capacité.</w:t>
            </w:r>
          </w:p>
        </w:tc>
      </w:tr>
      <w:tr>
        <w:tc>
          <w:tcPr>
            <w:tcW w:type="dxa" w:w="1037"/>
            <w:tcMar>
              <w:top w:w="90" w:type="dxa"/>
              <w:start w:w="90" w:type="dxa"/>
              <w:bottom w:w="90" w:type="dxa"/>
              <w:end w:w="90" w:type="dxa"/>
            </w:tcMar>
            <w:vAlign w:val="top"/>
          </w:tcPr>
          <w:p>
            <w:r>
              <w:rPr>
                <w:sz w:val="16"/>
              </w:rPr>
              <w:t>EVT-002</w:t>
            </w:r>
          </w:p>
        </w:tc>
        <w:tc>
          <w:tcPr>
            <w:tcW w:type="dxa" w:w="4680"/>
            <w:tcMar>
              <w:top w:w="90" w:type="dxa"/>
              <w:start w:w="90" w:type="dxa"/>
              <w:bottom w:w="90" w:type="dxa"/>
              <w:end w:w="90" w:type="dxa"/>
            </w:tcMar>
            <w:vAlign w:val="top"/>
          </w:tcPr>
          <w:p>
            <w:r>
              <w:rPr>
                <w:sz w:val="16"/>
              </w:rPr>
              <w:t>Permettre l’inscription des représentants du membre.</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Confirmation et QR individuel générés.</w:t>
            </w:r>
          </w:p>
        </w:tc>
      </w:tr>
      <w:tr>
        <w:tc>
          <w:tcPr>
            <w:tcW w:type="dxa" w:w="1037"/>
            <w:tcMar>
              <w:top w:w="90" w:type="dxa"/>
              <w:start w:w="90" w:type="dxa"/>
              <w:bottom w:w="90" w:type="dxa"/>
              <w:end w:w="90" w:type="dxa"/>
            </w:tcMar>
            <w:vAlign w:val="top"/>
          </w:tcPr>
          <w:p>
            <w:r>
              <w:rPr>
                <w:sz w:val="16"/>
              </w:rPr>
              <w:t>EVT-003</w:t>
            </w:r>
          </w:p>
        </w:tc>
        <w:tc>
          <w:tcPr>
            <w:tcW w:type="dxa" w:w="4680"/>
            <w:tcMar>
              <w:top w:w="90" w:type="dxa"/>
              <w:start w:w="90" w:type="dxa"/>
              <w:bottom w:w="90" w:type="dxa"/>
              <w:end w:w="90" w:type="dxa"/>
            </w:tcMar>
            <w:vAlign w:val="top"/>
          </w:tcPr>
          <w:p>
            <w:r>
              <w:rPr>
                <w:sz w:val="16"/>
              </w:rPr>
              <w:t>Gérer présence, certificat et satisfaction.</w:t>
            </w:r>
          </w:p>
        </w:tc>
        <w:tc>
          <w:tcPr>
            <w:tcW w:type="dxa" w:w="893"/>
            <w:tcMar>
              <w:top w:w="90" w:type="dxa"/>
              <w:start w:w="90" w:type="dxa"/>
              <w:bottom w:w="90" w:type="dxa"/>
              <w:end w:w="90" w:type="dxa"/>
            </w:tcMar>
            <w:vAlign w:val="top"/>
          </w:tcPr>
          <w:p>
            <w:r>
              <w:rPr>
                <w:sz w:val="16"/>
              </w:rPr>
              <w:t>Could</w:t>
            </w:r>
          </w:p>
        </w:tc>
        <w:tc>
          <w:tcPr>
            <w:tcW w:type="dxa" w:w="2952"/>
            <w:tcMar>
              <w:top w:w="90" w:type="dxa"/>
              <w:start w:w="90" w:type="dxa"/>
              <w:bottom w:w="90" w:type="dxa"/>
              <w:end w:w="90" w:type="dxa"/>
            </w:tcMar>
            <w:vAlign w:val="top"/>
          </w:tcPr>
          <w:p>
            <w:r>
              <w:rPr>
                <w:sz w:val="16"/>
              </w:rPr>
              <w:t>La participation alimente l’indicateur d’engagement membre.</w:t>
            </w:r>
          </w:p>
        </w:tc>
      </w:tr>
      <w:tr>
        <w:tc>
          <w:tcPr>
            <w:tcW w:type="dxa" w:w="1037"/>
            <w:tcMar>
              <w:top w:w="90" w:type="dxa"/>
              <w:start w:w="90" w:type="dxa"/>
              <w:bottom w:w="90" w:type="dxa"/>
              <w:end w:w="90" w:type="dxa"/>
            </w:tcMar>
            <w:vAlign w:val="top"/>
          </w:tcPr>
          <w:p>
            <w:r>
              <w:rPr>
                <w:sz w:val="16"/>
              </w:rPr>
              <w:t>EVT-004</w:t>
            </w:r>
          </w:p>
        </w:tc>
        <w:tc>
          <w:tcPr>
            <w:tcW w:type="dxa" w:w="4680"/>
            <w:tcMar>
              <w:top w:w="90" w:type="dxa"/>
              <w:start w:w="90" w:type="dxa"/>
              <w:bottom w:w="90" w:type="dxa"/>
              <w:end w:w="90" w:type="dxa"/>
            </w:tcMar>
            <w:vAlign w:val="top"/>
          </w:tcPr>
          <w:p>
            <w:r>
              <w:rPr>
                <w:sz w:val="16"/>
              </w:rPr>
              <w:t>Publier actualités et documents ciblés.</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Le contenu peut être public, réservé ou limité à un segment.</w:t>
            </w:r>
          </w:p>
        </w:tc>
      </w:tr>
    </w:tbl>
    <w:p>
      <w:pPr>
        <w:spacing w:after="20"/>
      </w:pPr>
    </w:p>
    <w:p>
      <w:pPr>
        <w:pStyle w:val="Heading1"/>
      </w:pPr>
      <w:r>
        <w:t>16. Décisionnel, tableaux de bord et reporting</w:t>
      </w:r>
    </w:p>
    <w:p>
      <w:pPr>
        <w:spacing w:after="160"/>
      </w:pPr>
      <w:r>
        <w:rPr>
          <w:color w:val="5B6475"/>
          <w:sz w:val="21"/>
        </w:rPr>
        <w:t>Le décisionnel doit être natif, orienté action et accessible selon le rôle. Chaque indicateur doit avoir une définition, une source, une fréquence, un propriétaire, des filtres et une capacité de drill-down.</w:t>
      </w:r>
    </w:p>
    <w:p>
      <w:pPr>
        <w:pStyle w:val="Heading2"/>
      </w:pPr>
      <w:r>
        <w:t>16.1 Tableau de bord Direction générale</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088"/>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Axe</w:t>
            </w:r>
          </w:p>
        </w:tc>
        <w:tc>
          <w:tcPr>
            <w:tcW w:type="dxa" w:w="756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Indicateurs clés</w:t>
            </w:r>
          </w:p>
        </w:tc>
      </w:tr>
      <w:tr>
        <w:tc>
          <w:tcPr>
            <w:tcW w:type="dxa" w:w="2088"/>
            <w:tcMar>
              <w:top w:w="90" w:type="dxa"/>
              <w:start w:w="90" w:type="dxa"/>
              <w:bottom w:w="90" w:type="dxa"/>
              <w:end w:w="90" w:type="dxa"/>
            </w:tcMar>
            <w:vAlign w:val="top"/>
          </w:tcPr>
          <w:p>
            <w:r>
              <w:rPr>
                <w:sz w:val="17"/>
              </w:rPr>
              <w:t>Mobilisation</w:t>
            </w:r>
          </w:p>
        </w:tc>
        <w:tc>
          <w:tcPr>
            <w:tcW w:type="dxa" w:w="7560"/>
            <w:tcMar>
              <w:top w:w="90" w:type="dxa"/>
              <w:start w:w="90" w:type="dxa"/>
              <w:bottom w:w="90" w:type="dxa"/>
              <w:end w:w="90" w:type="dxa"/>
            </w:tcMar>
            <w:vAlign w:val="top"/>
          </w:tcPr>
          <w:p>
            <w:r>
              <w:rPr>
                <w:sz w:val="17"/>
              </w:rPr>
              <w:t>Cotisations encaissées MTD/YTD, objectif, écart, tendance, projection fin d’année.</w:t>
            </w:r>
          </w:p>
        </w:tc>
      </w:tr>
      <w:tr>
        <w:tc>
          <w:tcPr>
            <w:tcW w:type="dxa" w:w="2088"/>
            <w:tcMar>
              <w:top w:w="90" w:type="dxa"/>
              <w:start w:w="90" w:type="dxa"/>
              <w:bottom w:w="90" w:type="dxa"/>
              <w:end w:w="90" w:type="dxa"/>
            </w:tcMar>
            <w:vAlign w:val="top"/>
          </w:tcPr>
          <w:p>
            <w:r>
              <w:rPr>
                <w:sz w:val="17"/>
              </w:rPr>
              <w:t>Diversification</w:t>
            </w:r>
          </w:p>
        </w:tc>
        <w:tc>
          <w:tcPr>
            <w:tcW w:type="dxa" w:w="7560"/>
            <w:tcMar>
              <w:top w:w="90" w:type="dxa"/>
              <w:start w:w="90" w:type="dxa"/>
              <w:bottom w:w="90" w:type="dxa"/>
              <w:end w:w="90" w:type="dxa"/>
            </w:tcMar>
            <w:vAlign w:val="top"/>
          </w:tcPr>
          <w:p>
            <w:r>
              <w:rPr>
                <w:sz w:val="17"/>
              </w:rPr>
              <w:t>Part des 5 premiers cotisants, concentration, nombre de contributeurs actifs, nouveaux contributeurs.</w:t>
            </w:r>
          </w:p>
        </w:tc>
      </w:tr>
      <w:tr>
        <w:tc>
          <w:tcPr>
            <w:tcW w:type="dxa" w:w="2088"/>
            <w:tcMar>
              <w:top w:w="90" w:type="dxa"/>
              <w:start w:w="90" w:type="dxa"/>
              <w:bottom w:w="90" w:type="dxa"/>
              <w:end w:w="90" w:type="dxa"/>
            </w:tcMar>
            <w:vAlign w:val="top"/>
          </w:tcPr>
          <w:p>
            <w:r>
              <w:rPr>
                <w:sz w:val="17"/>
              </w:rPr>
              <w:t>Recouvrement</w:t>
            </w:r>
          </w:p>
        </w:tc>
        <w:tc>
          <w:tcPr>
            <w:tcW w:type="dxa" w:w="7560"/>
            <w:tcMar>
              <w:top w:w="90" w:type="dxa"/>
              <w:start w:w="90" w:type="dxa"/>
              <w:bottom w:w="90" w:type="dxa"/>
              <w:end w:w="90" w:type="dxa"/>
            </w:tcMar>
            <w:vAlign w:val="top"/>
          </w:tcPr>
          <w:p>
            <w:r>
              <w:rPr>
                <w:sz w:val="17"/>
              </w:rPr>
              <w:t>Taux de recouvrement, ancienneté des créances, promesses tenues, montant récupéré après relance.</w:t>
            </w:r>
          </w:p>
        </w:tc>
      </w:tr>
      <w:tr>
        <w:tc>
          <w:tcPr>
            <w:tcW w:type="dxa" w:w="2088"/>
            <w:tcMar>
              <w:top w:w="90" w:type="dxa"/>
              <w:start w:w="90" w:type="dxa"/>
              <w:bottom w:w="90" w:type="dxa"/>
              <w:end w:w="90" w:type="dxa"/>
            </w:tcMar>
            <w:vAlign w:val="top"/>
          </w:tcPr>
          <w:p>
            <w:r>
              <w:rPr>
                <w:sz w:val="17"/>
              </w:rPr>
              <w:t>Base membre</w:t>
            </w:r>
          </w:p>
        </w:tc>
        <w:tc>
          <w:tcPr>
            <w:tcW w:type="dxa" w:w="7560"/>
            <w:tcMar>
              <w:top w:w="90" w:type="dxa"/>
              <w:start w:w="90" w:type="dxa"/>
              <w:bottom w:w="90" w:type="dxa"/>
              <w:end w:w="90" w:type="dxa"/>
            </w:tcMar>
            <w:vAlign w:val="top"/>
          </w:tcPr>
          <w:p>
            <w:r>
              <w:rPr>
                <w:sz w:val="17"/>
              </w:rPr>
              <w:t>Actifs, dormants, réactivés, prospects, adhésions, radiations, taux de rétention.</w:t>
            </w:r>
          </w:p>
        </w:tc>
      </w:tr>
      <w:tr>
        <w:tc>
          <w:tcPr>
            <w:tcW w:type="dxa" w:w="2088"/>
            <w:tcMar>
              <w:top w:w="90" w:type="dxa"/>
              <w:start w:w="90" w:type="dxa"/>
              <w:bottom w:w="90" w:type="dxa"/>
              <w:end w:w="90" w:type="dxa"/>
            </w:tcMar>
            <w:vAlign w:val="top"/>
          </w:tcPr>
          <w:p>
            <w:r>
              <w:rPr>
                <w:sz w:val="17"/>
              </w:rPr>
              <w:t>Canaux</w:t>
            </w:r>
          </w:p>
        </w:tc>
        <w:tc>
          <w:tcPr>
            <w:tcW w:type="dxa" w:w="7560"/>
            <w:tcMar>
              <w:top w:w="90" w:type="dxa"/>
              <w:start w:w="90" w:type="dxa"/>
              <w:bottom w:w="90" w:type="dxa"/>
              <w:end w:w="90" w:type="dxa"/>
            </w:tcMar>
            <w:vAlign w:val="top"/>
          </w:tcPr>
          <w:p>
            <w:r>
              <w:rPr>
                <w:sz w:val="17"/>
              </w:rPr>
              <w:t>Encaissements par Mobile Money, banque, groupement, agent, portail et campagne.</w:t>
            </w:r>
          </w:p>
        </w:tc>
      </w:tr>
      <w:tr>
        <w:tc>
          <w:tcPr>
            <w:tcW w:type="dxa" w:w="2088"/>
            <w:tcMar>
              <w:top w:w="90" w:type="dxa"/>
              <w:start w:w="90" w:type="dxa"/>
              <w:bottom w:w="90" w:type="dxa"/>
              <w:end w:w="90" w:type="dxa"/>
            </w:tcMar>
            <w:vAlign w:val="top"/>
          </w:tcPr>
          <w:p>
            <w:r>
              <w:rPr>
                <w:sz w:val="17"/>
              </w:rPr>
              <w:t>Groupements</w:t>
            </w:r>
          </w:p>
        </w:tc>
        <w:tc>
          <w:tcPr>
            <w:tcW w:type="dxa" w:w="7560"/>
            <w:tcMar>
              <w:top w:w="90" w:type="dxa"/>
              <w:start w:w="90" w:type="dxa"/>
              <w:bottom w:w="90" w:type="dxa"/>
              <w:end w:w="90" w:type="dxa"/>
            </w:tcMar>
            <w:vAlign w:val="top"/>
          </w:tcPr>
          <w:p>
            <w:r>
              <w:rPr>
                <w:sz w:val="17"/>
              </w:rPr>
              <w:t>Performance par secteur, objectifs, conversion, arriérés, engagement.</w:t>
            </w:r>
          </w:p>
        </w:tc>
      </w:tr>
      <w:tr>
        <w:tc>
          <w:tcPr>
            <w:tcW w:type="dxa" w:w="2088"/>
            <w:tcMar>
              <w:top w:w="90" w:type="dxa"/>
              <w:start w:w="90" w:type="dxa"/>
              <w:bottom w:w="90" w:type="dxa"/>
              <w:end w:w="90" w:type="dxa"/>
            </w:tcMar>
            <w:vAlign w:val="top"/>
          </w:tcPr>
          <w:p>
            <w:r>
              <w:rPr>
                <w:sz w:val="17"/>
              </w:rPr>
              <w:t>Services</w:t>
            </w:r>
          </w:p>
        </w:tc>
        <w:tc>
          <w:tcPr>
            <w:tcW w:type="dxa" w:w="7560"/>
            <w:tcMar>
              <w:top w:w="90" w:type="dxa"/>
              <w:start w:w="90" w:type="dxa"/>
              <w:bottom w:w="90" w:type="dxa"/>
              <w:end w:w="90" w:type="dxa"/>
            </w:tcMar>
            <w:vAlign w:val="top"/>
          </w:tcPr>
          <w:p>
            <w:r>
              <w:rPr>
                <w:sz w:val="17"/>
              </w:rPr>
              <w:t>Requêtes, SLA, satisfaction, événements, participation, usage du portail.</w:t>
            </w:r>
          </w:p>
        </w:tc>
      </w:tr>
      <w:tr>
        <w:tc>
          <w:tcPr>
            <w:tcW w:type="dxa" w:w="2088"/>
            <w:tcMar>
              <w:top w:w="90" w:type="dxa"/>
              <w:start w:w="90" w:type="dxa"/>
              <w:bottom w:w="90" w:type="dxa"/>
              <w:end w:w="90" w:type="dxa"/>
            </w:tcMar>
            <w:vAlign w:val="top"/>
          </w:tcPr>
          <w:p>
            <w:r>
              <w:rPr>
                <w:sz w:val="17"/>
              </w:rPr>
              <w:t>Risque</w:t>
            </w:r>
          </w:p>
        </w:tc>
        <w:tc>
          <w:tcPr>
            <w:tcW w:type="dxa" w:w="7560"/>
            <w:tcMar>
              <w:top w:w="90" w:type="dxa"/>
              <w:start w:w="90" w:type="dxa"/>
              <w:bottom w:w="90" w:type="dxa"/>
              <w:end w:w="90" w:type="dxa"/>
            </w:tcMar>
            <w:vAlign w:val="top"/>
          </w:tcPr>
          <w:p>
            <w:r>
              <w:rPr>
                <w:sz w:val="17"/>
              </w:rPr>
              <w:t>Cotisants à risque, anomalies, concentration, dépendance, litiges, alertes critiques.</w:t>
            </w:r>
          </w:p>
        </w:tc>
      </w:tr>
      <w:tr>
        <w:tc>
          <w:tcPr>
            <w:tcW w:type="dxa" w:w="2088"/>
            <w:tcMar>
              <w:top w:w="90" w:type="dxa"/>
              <w:start w:w="90" w:type="dxa"/>
              <w:bottom w:w="90" w:type="dxa"/>
              <w:end w:w="90" w:type="dxa"/>
            </w:tcMar>
            <w:vAlign w:val="top"/>
          </w:tcPr>
          <w:p>
            <w:r>
              <w:rPr>
                <w:sz w:val="17"/>
              </w:rPr>
              <w:t>Prévision</w:t>
            </w:r>
          </w:p>
        </w:tc>
        <w:tc>
          <w:tcPr>
            <w:tcW w:type="dxa" w:w="7560"/>
            <w:tcMar>
              <w:top w:w="90" w:type="dxa"/>
              <w:start w:w="90" w:type="dxa"/>
              <w:bottom w:w="90" w:type="dxa"/>
              <w:end w:w="90" w:type="dxa"/>
            </w:tcMar>
            <w:vAlign w:val="top"/>
          </w:tcPr>
          <w:p>
            <w:r>
              <w:rPr>
                <w:sz w:val="17"/>
              </w:rPr>
              <w:t>Prévision mensuelle, scénarios optimiste/base/prudent, pipeline de promesses.</w:t>
            </w:r>
          </w:p>
        </w:tc>
      </w:tr>
      <w:tr>
        <w:tc>
          <w:tcPr>
            <w:tcW w:type="dxa" w:w="2088"/>
            <w:tcMar>
              <w:top w:w="90" w:type="dxa"/>
              <w:start w:w="90" w:type="dxa"/>
              <w:bottom w:w="90" w:type="dxa"/>
              <w:end w:w="90" w:type="dxa"/>
            </w:tcMar>
            <w:vAlign w:val="top"/>
          </w:tcPr>
          <w:p>
            <w:r>
              <w:rPr>
                <w:sz w:val="17"/>
              </w:rPr>
              <w:t>Qualité des données</w:t>
            </w:r>
          </w:p>
        </w:tc>
        <w:tc>
          <w:tcPr>
            <w:tcW w:type="dxa" w:w="7560"/>
            <w:tcMar>
              <w:top w:w="90" w:type="dxa"/>
              <w:start w:w="90" w:type="dxa"/>
              <w:bottom w:w="90" w:type="dxa"/>
              <w:end w:w="90" w:type="dxa"/>
            </w:tcMar>
            <w:vAlign w:val="top"/>
          </w:tcPr>
          <w:p>
            <w:r>
              <w:rPr>
                <w:sz w:val="17"/>
              </w:rPr>
              <w:t>Complétude KYC, doublons, pièces expirées, contacts invalides, rapprochements en attente.</w:t>
            </w:r>
          </w:p>
        </w:tc>
      </w:tr>
    </w:tbl>
    <w:p>
      <w:pPr>
        <w:spacing w:after="20"/>
      </w:pPr>
    </w:p>
    <w:p>
      <w:pPr>
        <w:pStyle w:val="Heading2"/>
      </w:pPr>
      <w:r>
        <w:t>16.2 Tableaux de bord opérationnels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088"/>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Profil</w:t>
            </w:r>
          </w:p>
        </w:tc>
        <w:tc>
          <w:tcPr>
            <w:tcW w:type="dxa" w:w="756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Vues prioritaires</w:t>
            </w:r>
          </w:p>
        </w:tc>
      </w:tr>
      <w:tr>
        <w:tc>
          <w:tcPr>
            <w:tcW w:type="dxa" w:w="2088"/>
            <w:tcMar>
              <w:top w:w="90" w:type="dxa"/>
              <w:start w:w="90" w:type="dxa"/>
              <w:bottom w:w="90" w:type="dxa"/>
              <w:end w:w="90" w:type="dxa"/>
            </w:tcMar>
            <w:vAlign w:val="top"/>
          </w:tcPr>
          <w:p>
            <w:r>
              <w:rPr>
                <w:sz w:val="17"/>
              </w:rPr>
              <w:t>Finance</w:t>
            </w:r>
          </w:p>
        </w:tc>
        <w:tc>
          <w:tcPr>
            <w:tcW w:type="dxa" w:w="7560"/>
            <w:tcMar>
              <w:top w:w="90" w:type="dxa"/>
              <w:start w:w="90" w:type="dxa"/>
              <w:bottom w:w="90" w:type="dxa"/>
              <w:end w:w="90" w:type="dxa"/>
            </w:tcMar>
            <w:vAlign w:val="top"/>
          </w:tcPr>
          <w:p>
            <w:r>
              <w:rPr>
                <w:sz w:val="17"/>
              </w:rPr>
              <w:t>Encaissements du jour, paiements non rapprochés, reçus en attente, écarts bancaires, clôture.</w:t>
            </w:r>
          </w:p>
        </w:tc>
      </w:tr>
      <w:tr>
        <w:tc>
          <w:tcPr>
            <w:tcW w:type="dxa" w:w="2088"/>
            <w:tcMar>
              <w:top w:w="90" w:type="dxa"/>
              <w:start w:w="90" w:type="dxa"/>
              <w:bottom w:w="90" w:type="dxa"/>
              <w:end w:w="90" w:type="dxa"/>
            </w:tcMar>
            <w:vAlign w:val="top"/>
          </w:tcPr>
          <w:p>
            <w:r>
              <w:rPr>
                <w:sz w:val="17"/>
              </w:rPr>
              <w:t>Recouvrement</w:t>
            </w:r>
          </w:p>
        </w:tc>
        <w:tc>
          <w:tcPr>
            <w:tcW w:type="dxa" w:w="7560"/>
            <w:tcMar>
              <w:top w:w="90" w:type="dxa"/>
              <w:start w:w="90" w:type="dxa"/>
              <w:bottom w:w="90" w:type="dxa"/>
              <w:end w:w="90" w:type="dxa"/>
            </w:tcMar>
            <w:vAlign w:val="top"/>
          </w:tcPr>
          <w:p>
            <w:r>
              <w:rPr>
                <w:sz w:val="17"/>
              </w:rPr>
              <w:t>Portefeuille priorisé, actions du jour, retards, promesses, conversion par canal.</w:t>
            </w:r>
          </w:p>
        </w:tc>
      </w:tr>
      <w:tr>
        <w:tc>
          <w:tcPr>
            <w:tcW w:type="dxa" w:w="2088"/>
            <w:tcMar>
              <w:top w:w="90" w:type="dxa"/>
              <w:start w:w="90" w:type="dxa"/>
              <w:bottom w:w="90" w:type="dxa"/>
              <w:end w:w="90" w:type="dxa"/>
            </w:tcMar>
            <w:vAlign w:val="top"/>
          </w:tcPr>
          <w:p>
            <w:r>
              <w:rPr>
                <w:sz w:val="17"/>
              </w:rPr>
              <w:t>Service membres</w:t>
            </w:r>
          </w:p>
        </w:tc>
        <w:tc>
          <w:tcPr>
            <w:tcW w:type="dxa" w:w="7560"/>
            <w:tcMar>
              <w:top w:w="90" w:type="dxa"/>
              <w:start w:w="90" w:type="dxa"/>
              <w:bottom w:w="90" w:type="dxa"/>
              <w:end w:w="90" w:type="dxa"/>
            </w:tcMar>
            <w:vAlign w:val="top"/>
          </w:tcPr>
          <w:p>
            <w:r>
              <w:rPr>
                <w:sz w:val="17"/>
              </w:rPr>
              <w:t>Dossiers à valider, pièces manquantes, demandes, adhésions, changements sensibles.</w:t>
            </w:r>
          </w:p>
        </w:tc>
      </w:tr>
      <w:tr>
        <w:tc>
          <w:tcPr>
            <w:tcW w:type="dxa" w:w="2088"/>
            <w:tcMar>
              <w:top w:w="90" w:type="dxa"/>
              <w:start w:w="90" w:type="dxa"/>
              <w:bottom w:w="90" w:type="dxa"/>
              <w:end w:w="90" w:type="dxa"/>
            </w:tcMar>
            <w:vAlign w:val="top"/>
          </w:tcPr>
          <w:p>
            <w:r>
              <w:rPr>
                <w:sz w:val="17"/>
              </w:rPr>
              <w:t>Groupement</w:t>
            </w:r>
          </w:p>
        </w:tc>
        <w:tc>
          <w:tcPr>
            <w:tcW w:type="dxa" w:w="7560"/>
            <w:tcMar>
              <w:top w:w="90" w:type="dxa"/>
              <w:start w:w="90" w:type="dxa"/>
              <w:bottom w:w="90" w:type="dxa"/>
              <w:end w:w="90" w:type="dxa"/>
            </w:tcMar>
            <w:vAlign w:val="top"/>
          </w:tcPr>
          <w:p>
            <w:r>
              <w:rPr>
                <w:sz w:val="17"/>
              </w:rPr>
              <w:t>Prospects, membres, objectifs, relances, cotisations et performance du secteur.</w:t>
            </w:r>
          </w:p>
        </w:tc>
      </w:tr>
      <w:tr>
        <w:tc>
          <w:tcPr>
            <w:tcW w:type="dxa" w:w="2088"/>
            <w:tcMar>
              <w:top w:w="90" w:type="dxa"/>
              <w:start w:w="90" w:type="dxa"/>
              <w:bottom w:w="90" w:type="dxa"/>
              <w:end w:w="90" w:type="dxa"/>
            </w:tcMar>
            <w:vAlign w:val="top"/>
          </w:tcPr>
          <w:p>
            <w:r>
              <w:rPr>
                <w:sz w:val="17"/>
              </w:rPr>
              <w:t>Auditeur</w:t>
            </w:r>
          </w:p>
        </w:tc>
        <w:tc>
          <w:tcPr>
            <w:tcW w:type="dxa" w:w="7560"/>
            <w:tcMar>
              <w:top w:w="90" w:type="dxa"/>
              <w:start w:w="90" w:type="dxa"/>
              <w:bottom w:w="90" w:type="dxa"/>
              <w:end w:w="90" w:type="dxa"/>
            </w:tcMar>
            <w:vAlign w:val="top"/>
          </w:tcPr>
          <w:p>
            <w:r>
              <w:rPr>
                <w:sz w:val="17"/>
              </w:rPr>
              <w:t>Journal d’audit, annulations, remises, changements bancaires, paiements et contrôles.</w:t>
            </w:r>
          </w:p>
        </w:tc>
      </w:tr>
      <w:tr>
        <w:tc>
          <w:tcPr>
            <w:tcW w:type="dxa" w:w="2088"/>
            <w:tcMar>
              <w:top w:w="90" w:type="dxa"/>
              <w:start w:w="90" w:type="dxa"/>
              <w:bottom w:w="90" w:type="dxa"/>
              <w:end w:w="90" w:type="dxa"/>
            </w:tcMar>
            <w:vAlign w:val="top"/>
          </w:tcPr>
          <w:p>
            <w:r>
              <w:rPr>
                <w:sz w:val="17"/>
              </w:rPr>
              <w:t>Administrateur</w:t>
            </w:r>
          </w:p>
        </w:tc>
        <w:tc>
          <w:tcPr>
            <w:tcW w:type="dxa" w:w="7560"/>
            <w:tcMar>
              <w:top w:w="90" w:type="dxa"/>
              <w:start w:w="90" w:type="dxa"/>
              <w:bottom w:w="90" w:type="dxa"/>
              <w:end w:w="90" w:type="dxa"/>
            </w:tcMar>
            <w:vAlign w:val="top"/>
          </w:tcPr>
          <w:p>
            <w:r>
              <w:rPr>
                <w:sz w:val="17"/>
              </w:rPr>
              <w:t>Disponibilité, erreurs d’intégration, files d’attente, comptes bloqués, usage et sécurité.</w:t>
            </w:r>
          </w:p>
        </w:tc>
      </w:tr>
    </w:tbl>
    <w:p>
      <w:pPr>
        <w:spacing w:after="20"/>
      </w:pPr>
    </w:p>
    <w:p>
      <w:pPr>
        <w:pStyle w:val="Heading2"/>
      </w:pPr>
      <w:r>
        <w:t>16.3 Catalogue minimal des rapports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3389"/>
        <w:gridCol w:w="3389"/>
        <w:gridCol w:w="3389"/>
      </w:tblGrid>
      <w:tr>
        <w:trPr>
          <w:tblHeader w:val="true"/>
        </w:trPr>
        <w:tc>
          <w:tcPr>
            <w:tcW w:type="dxa" w:w="936"/>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Code</w:t>
            </w:r>
          </w:p>
        </w:tc>
        <w:tc>
          <w:tcPr>
            <w:tcW w:type="dxa" w:w="367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Rapport</w:t>
            </w:r>
          </w:p>
        </w:tc>
        <w:tc>
          <w:tcPr>
            <w:tcW w:type="dxa" w:w="4968"/>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Filtres / dimensions</w:t>
            </w:r>
          </w:p>
        </w:tc>
      </w:tr>
      <w:tr>
        <w:tc>
          <w:tcPr>
            <w:tcW w:type="dxa" w:w="936"/>
            <w:tcMar>
              <w:top w:w="90" w:type="dxa"/>
              <w:start w:w="90" w:type="dxa"/>
              <w:bottom w:w="90" w:type="dxa"/>
              <w:end w:w="90" w:type="dxa"/>
            </w:tcMar>
            <w:vAlign w:val="top"/>
          </w:tcPr>
          <w:p>
            <w:r>
              <w:rPr>
                <w:sz w:val="16"/>
              </w:rPr>
              <w:t>RPT-01</w:t>
            </w:r>
          </w:p>
        </w:tc>
        <w:tc>
          <w:tcPr>
            <w:tcW w:type="dxa" w:w="3672"/>
            <w:tcMar>
              <w:top w:w="90" w:type="dxa"/>
              <w:start w:w="90" w:type="dxa"/>
              <w:bottom w:w="90" w:type="dxa"/>
              <w:end w:w="90" w:type="dxa"/>
            </w:tcMar>
            <w:vAlign w:val="top"/>
          </w:tcPr>
          <w:p>
            <w:r>
              <w:rPr>
                <w:sz w:val="16"/>
              </w:rPr>
              <w:t>Situation globale des cotisations</w:t>
            </w:r>
          </w:p>
        </w:tc>
        <w:tc>
          <w:tcPr>
            <w:tcW w:type="dxa" w:w="4968"/>
            <w:tcMar>
              <w:top w:w="90" w:type="dxa"/>
              <w:start w:w="90" w:type="dxa"/>
              <w:bottom w:w="90" w:type="dxa"/>
              <w:end w:w="90" w:type="dxa"/>
            </w:tcMar>
            <w:vAlign w:val="top"/>
          </w:tcPr>
          <w:p>
            <w:r>
              <w:rPr>
                <w:sz w:val="16"/>
              </w:rPr>
              <w:t>Période, exercice, catégorie, groupement, secteur, région.</w:t>
            </w:r>
          </w:p>
        </w:tc>
      </w:tr>
      <w:tr>
        <w:tc>
          <w:tcPr>
            <w:tcW w:type="dxa" w:w="936"/>
            <w:tcMar>
              <w:top w:w="90" w:type="dxa"/>
              <w:start w:w="90" w:type="dxa"/>
              <w:bottom w:w="90" w:type="dxa"/>
              <w:end w:w="90" w:type="dxa"/>
            </w:tcMar>
            <w:vAlign w:val="top"/>
          </w:tcPr>
          <w:p>
            <w:r>
              <w:rPr>
                <w:sz w:val="16"/>
              </w:rPr>
              <w:t>RPT-02</w:t>
            </w:r>
          </w:p>
        </w:tc>
        <w:tc>
          <w:tcPr>
            <w:tcW w:type="dxa" w:w="3672"/>
            <w:tcMar>
              <w:top w:w="90" w:type="dxa"/>
              <w:start w:w="90" w:type="dxa"/>
              <w:bottom w:w="90" w:type="dxa"/>
              <w:end w:w="90" w:type="dxa"/>
            </w:tcMar>
            <w:vAlign w:val="top"/>
          </w:tcPr>
          <w:p>
            <w:r>
              <w:rPr>
                <w:sz w:val="16"/>
              </w:rPr>
              <w:t>Balance âgée des cotisations</w:t>
            </w:r>
          </w:p>
        </w:tc>
        <w:tc>
          <w:tcPr>
            <w:tcW w:type="dxa" w:w="4968"/>
            <w:tcMar>
              <w:top w:w="90" w:type="dxa"/>
              <w:start w:w="90" w:type="dxa"/>
              <w:bottom w:w="90" w:type="dxa"/>
              <w:end w:w="90" w:type="dxa"/>
            </w:tcMar>
            <w:vAlign w:val="top"/>
          </w:tcPr>
          <w:p>
            <w:r>
              <w:rPr>
                <w:sz w:val="16"/>
              </w:rPr>
              <w:t>0-30, 31-60, 61-90, &gt;90 jours; membre; agent.</w:t>
            </w:r>
          </w:p>
        </w:tc>
      </w:tr>
      <w:tr>
        <w:tc>
          <w:tcPr>
            <w:tcW w:type="dxa" w:w="936"/>
            <w:tcMar>
              <w:top w:w="90" w:type="dxa"/>
              <w:start w:w="90" w:type="dxa"/>
              <w:bottom w:w="90" w:type="dxa"/>
              <w:end w:w="90" w:type="dxa"/>
            </w:tcMar>
            <w:vAlign w:val="top"/>
          </w:tcPr>
          <w:p>
            <w:r>
              <w:rPr>
                <w:sz w:val="16"/>
              </w:rPr>
              <w:t>RPT-03</w:t>
            </w:r>
          </w:p>
        </w:tc>
        <w:tc>
          <w:tcPr>
            <w:tcW w:type="dxa" w:w="3672"/>
            <w:tcMar>
              <w:top w:w="90" w:type="dxa"/>
              <w:start w:w="90" w:type="dxa"/>
              <w:bottom w:w="90" w:type="dxa"/>
              <w:end w:w="90" w:type="dxa"/>
            </w:tcMar>
            <w:vAlign w:val="top"/>
          </w:tcPr>
          <w:p>
            <w:r>
              <w:rPr>
                <w:sz w:val="16"/>
              </w:rPr>
              <w:t>Journal des encaissements</w:t>
            </w:r>
          </w:p>
        </w:tc>
        <w:tc>
          <w:tcPr>
            <w:tcW w:type="dxa" w:w="4968"/>
            <w:tcMar>
              <w:top w:w="90" w:type="dxa"/>
              <w:start w:w="90" w:type="dxa"/>
              <w:bottom w:w="90" w:type="dxa"/>
              <w:end w:w="90" w:type="dxa"/>
            </w:tcMar>
            <w:vAlign w:val="top"/>
          </w:tcPr>
          <w:p>
            <w:r>
              <w:rPr>
                <w:sz w:val="16"/>
              </w:rPr>
              <w:t>Canal, statut, banque/opérateur, rapprochement, reçu.</w:t>
            </w:r>
          </w:p>
        </w:tc>
      </w:tr>
      <w:tr>
        <w:tc>
          <w:tcPr>
            <w:tcW w:type="dxa" w:w="936"/>
            <w:tcMar>
              <w:top w:w="90" w:type="dxa"/>
              <w:start w:w="90" w:type="dxa"/>
              <w:bottom w:w="90" w:type="dxa"/>
              <w:end w:w="90" w:type="dxa"/>
            </w:tcMar>
            <w:vAlign w:val="top"/>
          </w:tcPr>
          <w:p>
            <w:r>
              <w:rPr>
                <w:sz w:val="16"/>
              </w:rPr>
              <w:t>RPT-04</w:t>
            </w:r>
          </w:p>
        </w:tc>
        <w:tc>
          <w:tcPr>
            <w:tcW w:type="dxa" w:w="3672"/>
            <w:tcMar>
              <w:top w:w="90" w:type="dxa"/>
              <w:start w:w="90" w:type="dxa"/>
              <w:bottom w:w="90" w:type="dxa"/>
              <w:end w:w="90" w:type="dxa"/>
            </w:tcMar>
            <w:vAlign w:val="top"/>
          </w:tcPr>
          <w:p>
            <w:r>
              <w:rPr>
                <w:sz w:val="16"/>
              </w:rPr>
              <w:t>État des reçus</w:t>
            </w:r>
          </w:p>
        </w:tc>
        <w:tc>
          <w:tcPr>
            <w:tcW w:type="dxa" w:w="4968"/>
            <w:tcMar>
              <w:top w:w="90" w:type="dxa"/>
              <w:start w:w="90" w:type="dxa"/>
              <w:bottom w:w="90" w:type="dxa"/>
              <w:end w:w="90" w:type="dxa"/>
            </w:tcMar>
            <w:vAlign w:val="top"/>
          </w:tcPr>
          <w:p>
            <w:r>
              <w:rPr>
                <w:sz w:val="16"/>
              </w:rPr>
              <w:t>Émis, annulés, remplacés, période, utilisateur.</w:t>
            </w:r>
          </w:p>
        </w:tc>
      </w:tr>
      <w:tr>
        <w:tc>
          <w:tcPr>
            <w:tcW w:type="dxa" w:w="936"/>
            <w:tcMar>
              <w:top w:w="90" w:type="dxa"/>
              <w:start w:w="90" w:type="dxa"/>
              <w:bottom w:w="90" w:type="dxa"/>
              <w:end w:w="90" w:type="dxa"/>
            </w:tcMar>
            <w:vAlign w:val="top"/>
          </w:tcPr>
          <w:p>
            <w:r>
              <w:rPr>
                <w:sz w:val="16"/>
              </w:rPr>
              <w:t>RPT-05</w:t>
            </w:r>
          </w:p>
        </w:tc>
        <w:tc>
          <w:tcPr>
            <w:tcW w:type="dxa" w:w="3672"/>
            <w:tcMar>
              <w:top w:w="90" w:type="dxa"/>
              <w:start w:w="90" w:type="dxa"/>
              <w:bottom w:w="90" w:type="dxa"/>
              <w:end w:w="90" w:type="dxa"/>
            </w:tcMar>
            <w:vAlign w:val="top"/>
          </w:tcPr>
          <w:p>
            <w:r>
              <w:rPr>
                <w:sz w:val="16"/>
              </w:rPr>
              <w:t>Performance des relances</w:t>
            </w:r>
          </w:p>
        </w:tc>
        <w:tc>
          <w:tcPr>
            <w:tcW w:type="dxa" w:w="4968"/>
            <w:tcMar>
              <w:top w:w="90" w:type="dxa"/>
              <w:start w:w="90" w:type="dxa"/>
              <w:bottom w:w="90" w:type="dxa"/>
              <w:end w:w="90" w:type="dxa"/>
            </w:tcMar>
            <w:vAlign w:val="top"/>
          </w:tcPr>
          <w:p>
            <w:r>
              <w:rPr>
                <w:sz w:val="16"/>
              </w:rPr>
              <w:t>Campagne, canal, segment, agent, coût, conversion.</w:t>
            </w:r>
          </w:p>
        </w:tc>
      </w:tr>
      <w:tr>
        <w:tc>
          <w:tcPr>
            <w:tcW w:type="dxa" w:w="936"/>
            <w:tcMar>
              <w:top w:w="90" w:type="dxa"/>
              <w:start w:w="90" w:type="dxa"/>
              <w:bottom w:w="90" w:type="dxa"/>
              <w:end w:w="90" w:type="dxa"/>
            </w:tcMar>
            <w:vAlign w:val="top"/>
          </w:tcPr>
          <w:p>
            <w:r>
              <w:rPr>
                <w:sz w:val="16"/>
              </w:rPr>
              <w:t>RPT-06</w:t>
            </w:r>
          </w:p>
        </w:tc>
        <w:tc>
          <w:tcPr>
            <w:tcW w:type="dxa" w:w="3672"/>
            <w:tcMar>
              <w:top w:w="90" w:type="dxa"/>
              <w:start w:w="90" w:type="dxa"/>
              <w:bottom w:w="90" w:type="dxa"/>
              <w:end w:w="90" w:type="dxa"/>
            </w:tcMar>
            <w:vAlign w:val="top"/>
          </w:tcPr>
          <w:p>
            <w:r>
              <w:rPr>
                <w:sz w:val="16"/>
              </w:rPr>
              <w:t>Membres actifs/dormants/réactivés</w:t>
            </w:r>
          </w:p>
        </w:tc>
        <w:tc>
          <w:tcPr>
            <w:tcW w:type="dxa" w:w="4968"/>
            <w:tcMar>
              <w:top w:w="90" w:type="dxa"/>
              <w:start w:w="90" w:type="dxa"/>
              <w:bottom w:w="90" w:type="dxa"/>
              <w:end w:w="90" w:type="dxa"/>
            </w:tcMar>
            <w:vAlign w:val="top"/>
          </w:tcPr>
          <w:p>
            <w:r>
              <w:rPr>
                <w:sz w:val="16"/>
              </w:rPr>
              <w:t>Période, secteur, groupement, ancienneté.</w:t>
            </w:r>
          </w:p>
        </w:tc>
      </w:tr>
      <w:tr>
        <w:tc>
          <w:tcPr>
            <w:tcW w:type="dxa" w:w="936"/>
            <w:tcMar>
              <w:top w:w="90" w:type="dxa"/>
              <w:start w:w="90" w:type="dxa"/>
              <w:bottom w:w="90" w:type="dxa"/>
              <w:end w:w="90" w:type="dxa"/>
            </w:tcMar>
            <w:vAlign w:val="top"/>
          </w:tcPr>
          <w:p>
            <w:r>
              <w:rPr>
                <w:sz w:val="16"/>
              </w:rPr>
              <w:t>RPT-07</w:t>
            </w:r>
          </w:p>
        </w:tc>
        <w:tc>
          <w:tcPr>
            <w:tcW w:type="dxa" w:w="3672"/>
            <w:tcMar>
              <w:top w:w="90" w:type="dxa"/>
              <w:start w:w="90" w:type="dxa"/>
              <w:bottom w:w="90" w:type="dxa"/>
              <w:end w:w="90" w:type="dxa"/>
            </w:tcMar>
            <w:vAlign w:val="top"/>
          </w:tcPr>
          <w:p>
            <w:r>
              <w:rPr>
                <w:sz w:val="16"/>
              </w:rPr>
              <w:t>Prospects et tunnel d’enrôlement</w:t>
            </w:r>
          </w:p>
        </w:tc>
        <w:tc>
          <w:tcPr>
            <w:tcW w:type="dxa" w:w="4968"/>
            <w:tcMar>
              <w:top w:w="90" w:type="dxa"/>
              <w:start w:w="90" w:type="dxa"/>
              <w:bottom w:w="90" w:type="dxa"/>
              <w:end w:w="90" w:type="dxa"/>
            </w:tcMar>
            <w:vAlign w:val="top"/>
          </w:tcPr>
          <w:p>
            <w:r>
              <w:rPr>
                <w:sz w:val="16"/>
              </w:rPr>
              <w:t>Source, étape, abandon, délai, conversion.</w:t>
            </w:r>
          </w:p>
        </w:tc>
      </w:tr>
      <w:tr>
        <w:tc>
          <w:tcPr>
            <w:tcW w:type="dxa" w:w="936"/>
            <w:tcMar>
              <w:top w:w="90" w:type="dxa"/>
              <w:start w:w="90" w:type="dxa"/>
              <w:bottom w:w="90" w:type="dxa"/>
              <w:end w:w="90" w:type="dxa"/>
            </w:tcMar>
            <w:vAlign w:val="top"/>
          </w:tcPr>
          <w:p>
            <w:r>
              <w:rPr>
                <w:sz w:val="16"/>
              </w:rPr>
              <w:t>RPT-08</w:t>
            </w:r>
          </w:p>
        </w:tc>
        <w:tc>
          <w:tcPr>
            <w:tcW w:type="dxa" w:w="3672"/>
            <w:tcMar>
              <w:top w:w="90" w:type="dxa"/>
              <w:start w:w="90" w:type="dxa"/>
              <w:bottom w:w="90" w:type="dxa"/>
              <w:end w:w="90" w:type="dxa"/>
            </w:tcMar>
            <w:vAlign w:val="top"/>
          </w:tcPr>
          <w:p>
            <w:r>
              <w:rPr>
                <w:sz w:val="16"/>
              </w:rPr>
              <w:t>Primes de mobilisation</w:t>
            </w:r>
          </w:p>
        </w:tc>
        <w:tc>
          <w:tcPr>
            <w:tcW w:type="dxa" w:w="4968"/>
            <w:tcMar>
              <w:top w:w="90" w:type="dxa"/>
              <w:start w:w="90" w:type="dxa"/>
              <w:bottom w:w="90" w:type="dxa"/>
              <w:end w:w="90" w:type="dxa"/>
            </w:tcMar>
            <w:vAlign w:val="top"/>
          </w:tcPr>
          <w:p>
            <w:r>
              <w:rPr>
                <w:sz w:val="16"/>
              </w:rPr>
              <w:t>Agent, catégorie, encaissement, taux, statut validation.</w:t>
            </w:r>
          </w:p>
        </w:tc>
      </w:tr>
      <w:tr>
        <w:tc>
          <w:tcPr>
            <w:tcW w:type="dxa" w:w="936"/>
            <w:tcMar>
              <w:top w:w="90" w:type="dxa"/>
              <w:start w:w="90" w:type="dxa"/>
              <w:bottom w:w="90" w:type="dxa"/>
              <w:end w:w="90" w:type="dxa"/>
            </w:tcMar>
            <w:vAlign w:val="top"/>
          </w:tcPr>
          <w:p>
            <w:r>
              <w:rPr>
                <w:sz w:val="16"/>
              </w:rPr>
              <w:t>RPT-09</w:t>
            </w:r>
          </w:p>
        </w:tc>
        <w:tc>
          <w:tcPr>
            <w:tcW w:type="dxa" w:w="3672"/>
            <w:tcMar>
              <w:top w:w="90" w:type="dxa"/>
              <w:start w:w="90" w:type="dxa"/>
              <w:bottom w:w="90" w:type="dxa"/>
              <w:end w:w="90" w:type="dxa"/>
            </w:tcMar>
            <w:vAlign w:val="top"/>
          </w:tcPr>
          <w:p>
            <w:r>
              <w:rPr>
                <w:sz w:val="16"/>
              </w:rPr>
              <w:t>Partage de revenus prestataire</w:t>
            </w:r>
          </w:p>
        </w:tc>
        <w:tc>
          <w:tcPr>
            <w:tcW w:type="dxa" w:w="4968"/>
            <w:tcMar>
              <w:top w:w="90" w:type="dxa"/>
              <w:start w:w="90" w:type="dxa"/>
              <w:bottom w:w="90" w:type="dxa"/>
              <w:end w:w="90" w:type="dxa"/>
            </w:tcMar>
            <w:vAlign w:val="top"/>
          </w:tcPr>
          <w:p>
            <w:r>
              <w:rPr>
                <w:sz w:val="16"/>
              </w:rPr>
              <w:t>Période, catégorie, encaissement éligible, taux, net.</w:t>
            </w:r>
          </w:p>
        </w:tc>
      </w:tr>
      <w:tr>
        <w:tc>
          <w:tcPr>
            <w:tcW w:type="dxa" w:w="936"/>
            <w:tcMar>
              <w:top w:w="90" w:type="dxa"/>
              <w:start w:w="90" w:type="dxa"/>
              <w:bottom w:w="90" w:type="dxa"/>
              <w:end w:w="90" w:type="dxa"/>
            </w:tcMar>
            <w:vAlign w:val="top"/>
          </w:tcPr>
          <w:p>
            <w:r>
              <w:rPr>
                <w:sz w:val="16"/>
              </w:rPr>
              <w:t>RPT-10</w:t>
            </w:r>
          </w:p>
        </w:tc>
        <w:tc>
          <w:tcPr>
            <w:tcW w:type="dxa" w:w="3672"/>
            <w:tcMar>
              <w:top w:w="90" w:type="dxa"/>
              <w:start w:w="90" w:type="dxa"/>
              <w:bottom w:w="90" w:type="dxa"/>
              <w:end w:w="90" w:type="dxa"/>
            </w:tcMar>
            <w:vAlign w:val="top"/>
          </w:tcPr>
          <w:p>
            <w:r>
              <w:rPr>
                <w:sz w:val="16"/>
              </w:rPr>
              <w:t>Concentration des recettes</w:t>
            </w:r>
          </w:p>
        </w:tc>
        <w:tc>
          <w:tcPr>
            <w:tcW w:type="dxa" w:w="4968"/>
            <w:tcMar>
              <w:top w:w="90" w:type="dxa"/>
              <w:start w:w="90" w:type="dxa"/>
              <w:bottom w:w="90" w:type="dxa"/>
              <w:end w:w="90" w:type="dxa"/>
            </w:tcMar>
            <w:vAlign w:val="top"/>
          </w:tcPr>
          <w:p>
            <w:r>
              <w:rPr>
                <w:sz w:val="16"/>
              </w:rPr>
              <w:t>Top N, part cumulée, indice de concentration, tendance.</w:t>
            </w:r>
          </w:p>
        </w:tc>
      </w:tr>
      <w:tr>
        <w:tc>
          <w:tcPr>
            <w:tcW w:type="dxa" w:w="936"/>
            <w:tcMar>
              <w:top w:w="90" w:type="dxa"/>
              <w:start w:w="90" w:type="dxa"/>
              <w:bottom w:w="90" w:type="dxa"/>
              <w:end w:w="90" w:type="dxa"/>
            </w:tcMar>
            <w:vAlign w:val="top"/>
          </w:tcPr>
          <w:p>
            <w:r>
              <w:rPr>
                <w:sz w:val="16"/>
              </w:rPr>
              <w:t>RPT-11</w:t>
            </w:r>
          </w:p>
        </w:tc>
        <w:tc>
          <w:tcPr>
            <w:tcW w:type="dxa" w:w="3672"/>
            <w:tcMar>
              <w:top w:w="90" w:type="dxa"/>
              <w:start w:w="90" w:type="dxa"/>
              <w:bottom w:w="90" w:type="dxa"/>
              <w:end w:w="90" w:type="dxa"/>
            </w:tcMar>
            <w:vAlign w:val="top"/>
          </w:tcPr>
          <w:p>
            <w:r>
              <w:rPr>
                <w:sz w:val="16"/>
              </w:rPr>
              <w:t>Qualité de service</w:t>
            </w:r>
          </w:p>
        </w:tc>
        <w:tc>
          <w:tcPr>
            <w:tcW w:type="dxa" w:w="4968"/>
            <w:tcMar>
              <w:top w:w="90" w:type="dxa"/>
              <w:start w:w="90" w:type="dxa"/>
              <w:bottom w:w="90" w:type="dxa"/>
              <w:end w:w="90" w:type="dxa"/>
            </w:tcMar>
            <w:vAlign w:val="top"/>
          </w:tcPr>
          <w:p>
            <w:r>
              <w:rPr>
                <w:sz w:val="16"/>
              </w:rPr>
              <w:t>Requêtes, SLA, satisfaction, service, groupement.</w:t>
            </w:r>
          </w:p>
        </w:tc>
      </w:tr>
      <w:tr>
        <w:tc>
          <w:tcPr>
            <w:tcW w:type="dxa" w:w="936"/>
            <w:tcMar>
              <w:top w:w="90" w:type="dxa"/>
              <w:start w:w="90" w:type="dxa"/>
              <w:bottom w:w="90" w:type="dxa"/>
              <w:end w:w="90" w:type="dxa"/>
            </w:tcMar>
            <w:vAlign w:val="top"/>
          </w:tcPr>
          <w:p>
            <w:r>
              <w:rPr>
                <w:sz w:val="16"/>
              </w:rPr>
              <w:t>RPT-12</w:t>
            </w:r>
          </w:p>
        </w:tc>
        <w:tc>
          <w:tcPr>
            <w:tcW w:type="dxa" w:w="3672"/>
            <w:tcMar>
              <w:top w:w="90" w:type="dxa"/>
              <w:start w:w="90" w:type="dxa"/>
              <w:bottom w:w="90" w:type="dxa"/>
              <w:end w:w="90" w:type="dxa"/>
            </w:tcMar>
            <w:vAlign w:val="top"/>
          </w:tcPr>
          <w:p>
            <w:r>
              <w:rPr>
                <w:sz w:val="16"/>
              </w:rPr>
              <w:t>Audit des opérations sensibles</w:t>
            </w:r>
          </w:p>
        </w:tc>
        <w:tc>
          <w:tcPr>
            <w:tcW w:type="dxa" w:w="4968"/>
            <w:tcMar>
              <w:top w:w="90" w:type="dxa"/>
              <w:start w:w="90" w:type="dxa"/>
              <w:bottom w:w="90" w:type="dxa"/>
              <w:end w:w="90" w:type="dxa"/>
            </w:tcMar>
            <w:vAlign w:val="top"/>
          </w:tcPr>
          <w:p>
            <w:r>
              <w:rPr>
                <w:sz w:val="16"/>
              </w:rPr>
              <w:t>Remises, annulations, modifications coordonnées, habilitations.</w:t>
            </w:r>
          </w:p>
        </w:tc>
      </w:tr>
    </w:tbl>
    <w:p>
      <w:pPr>
        <w:spacing w:after="20"/>
      </w:pPr>
    </w:p>
    <w:p>
      <w:pPr>
        <w:pStyle w:val="Heading2"/>
      </w:pPr>
      <w:r>
        <w:t>16.4 Exigences décisionnelles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BI-001</w:t>
            </w:r>
          </w:p>
        </w:tc>
        <w:tc>
          <w:tcPr>
            <w:tcW w:type="dxa" w:w="4680"/>
            <w:tcMar>
              <w:top w:w="90" w:type="dxa"/>
              <w:start w:w="90" w:type="dxa"/>
              <w:bottom w:w="90" w:type="dxa"/>
              <w:end w:w="90" w:type="dxa"/>
            </w:tcMar>
            <w:vAlign w:val="top"/>
          </w:tcPr>
          <w:p>
            <w:r>
              <w:rPr>
                <w:sz w:val="16"/>
              </w:rPr>
              <w:t>Filtrer par période, exercice, membre, catégorie, secteur, groupement et canal.</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Les filtres s’appliquent à tous les visuels cohérents.</w:t>
            </w:r>
          </w:p>
        </w:tc>
      </w:tr>
      <w:tr>
        <w:tc>
          <w:tcPr>
            <w:tcW w:type="dxa" w:w="1037"/>
            <w:tcMar>
              <w:top w:w="90" w:type="dxa"/>
              <w:start w:w="90" w:type="dxa"/>
              <w:bottom w:w="90" w:type="dxa"/>
              <w:end w:w="90" w:type="dxa"/>
            </w:tcMar>
            <w:vAlign w:val="top"/>
          </w:tcPr>
          <w:p>
            <w:r>
              <w:rPr>
                <w:sz w:val="16"/>
              </w:rPr>
              <w:t>BI-002</w:t>
            </w:r>
          </w:p>
        </w:tc>
        <w:tc>
          <w:tcPr>
            <w:tcW w:type="dxa" w:w="4680"/>
            <w:tcMar>
              <w:top w:w="90" w:type="dxa"/>
              <w:start w:w="90" w:type="dxa"/>
              <w:bottom w:w="90" w:type="dxa"/>
              <w:end w:w="90" w:type="dxa"/>
            </w:tcMar>
            <w:vAlign w:val="top"/>
          </w:tcPr>
          <w:p>
            <w:r>
              <w:rPr>
                <w:sz w:val="16"/>
              </w:rPr>
              <w:t>Naviguer du KPI agrégé jusqu’à la transaction autorisée.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 drill-down respecte les habilitations et masque les données sensibles.</w:t>
            </w:r>
          </w:p>
        </w:tc>
      </w:tr>
      <w:tr>
        <w:tc>
          <w:tcPr>
            <w:tcW w:type="dxa" w:w="1037"/>
            <w:tcMar>
              <w:top w:w="90" w:type="dxa"/>
              <w:start w:w="90" w:type="dxa"/>
              <w:bottom w:w="90" w:type="dxa"/>
              <w:end w:w="90" w:type="dxa"/>
            </w:tcMar>
            <w:vAlign w:val="top"/>
          </w:tcPr>
          <w:p>
            <w:r>
              <w:rPr>
                <w:sz w:val="16"/>
              </w:rPr>
              <w:t>BI-003</w:t>
            </w:r>
          </w:p>
        </w:tc>
        <w:tc>
          <w:tcPr>
            <w:tcW w:type="dxa" w:w="4680"/>
            <w:tcMar>
              <w:top w:w="90" w:type="dxa"/>
              <w:start w:w="90" w:type="dxa"/>
              <w:bottom w:w="90" w:type="dxa"/>
              <w:end w:w="90" w:type="dxa"/>
            </w:tcMar>
            <w:vAlign w:val="top"/>
          </w:tcPr>
          <w:p>
            <w:r>
              <w:rPr>
                <w:sz w:val="16"/>
              </w:rPr>
              <w:t>Exporter en Excel, PDF et CSV avec horodatage.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L’export conserve filtres, auteur et date.</w:t>
            </w:r>
          </w:p>
        </w:tc>
      </w:tr>
      <w:tr>
        <w:tc>
          <w:tcPr>
            <w:tcW w:type="dxa" w:w="1037"/>
            <w:tcMar>
              <w:top w:w="90" w:type="dxa"/>
              <w:start w:w="90" w:type="dxa"/>
              <w:bottom w:w="90" w:type="dxa"/>
              <w:end w:w="90" w:type="dxa"/>
            </w:tcMar>
            <w:vAlign w:val="top"/>
          </w:tcPr>
          <w:p>
            <w:r>
              <w:rPr>
                <w:sz w:val="16"/>
              </w:rPr>
              <w:t>BI-004</w:t>
            </w:r>
          </w:p>
        </w:tc>
        <w:tc>
          <w:tcPr>
            <w:tcW w:type="dxa" w:w="4680"/>
            <w:tcMar>
              <w:top w:w="90" w:type="dxa"/>
              <w:start w:w="90" w:type="dxa"/>
              <w:bottom w:w="90" w:type="dxa"/>
              <w:end w:w="90" w:type="dxa"/>
            </w:tcMar>
            <w:vAlign w:val="top"/>
          </w:tcPr>
          <w:p>
            <w:r>
              <w:rPr>
                <w:sz w:val="16"/>
              </w:rPr>
              <w:t>Programmer l’envoi de rapports aux destinataires autorisés.</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Fréquence, format, filtre et durée de validité configurables.</w:t>
            </w:r>
          </w:p>
        </w:tc>
      </w:tr>
      <w:tr>
        <w:tc>
          <w:tcPr>
            <w:tcW w:type="dxa" w:w="1037"/>
            <w:tcMar>
              <w:top w:w="90" w:type="dxa"/>
              <w:start w:w="90" w:type="dxa"/>
              <w:bottom w:w="90" w:type="dxa"/>
              <w:end w:w="90" w:type="dxa"/>
            </w:tcMar>
            <w:vAlign w:val="top"/>
          </w:tcPr>
          <w:p>
            <w:r>
              <w:rPr>
                <w:sz w:val="16"/>
              </w:rPr>
              <w:t>BI-005</w:t>
            </w:r>
          </w:p>
        </w:tc>
        <w:tc>
          <w:tcPr>
            <w:tcW w:type="dxa" w:w="4680"/>
            <w:tcMar>
              <w:top w:w="90" w:type="dxa"/>
              <w:start w:w="90" w:type="dxa"/>
              <w:bottom w:w="90" w:type="dxa"/>
              <w:end w:w="90" w:type="dxa"/>
            </w:tcMar>
            <w:vAlign w:val="top"/>
          </w:tcPr>
          <w:p>
            <w:r>
              <w:rPr>
                <w:sz w:val="16"/>
              </w:rPr>
              <w:t>Définir objectifs et seuils d’alerte.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Les alertes montrent écart, cause probable et lien vers détail.</w:t>
            </w:r>
          </w:p>
        </w:tc>
      </w:tr>
      <w:tr>
        <w:tc>
          <w:tcPr>
            <w:tcW w:type="dxa" w:w="1037"/>
            <w:tcMar>
              <w:top w:w="90" w:type="dxa"/>
              <w:start w:w="90" w:type="dxa"/>
              <w:bottom w:w="90" w:type="dxa"/>
              <w:end w:w="90" w:type="dxa"/>
            </w:tcMar>
            <w:vAlign w:val="top"/>
          </w:tcPr>
          <w:p>
            <w:r>
              <w:rPr>
                <w:sz w:val="16"/>
              </w:rPr>
              <w:t>BI-006</w:t>
            </w:r>
          </w:p>
        </w:tc>
        <w:tc>
          <w:tcPr>
            <w:tcW w:type="dxa" w:w="4680"/>
            <w:tcMar>
              <w:top w:w="90" w:type="dxa"/>
              <w:start w:w="90" w:type="dxa"/>
              <w:bottom w:w="90" w:type="dxa"/>
              <w:end w:w="90" w:type="dxa"/>
            </w:tcMar>
            <w:vAlign w:val="top"/>
          </w:tcPr>
          <w:p>
            <w:r>
              <w:rPr>
                <w:sz w:val="16"/>
              </w:rPr>
              <w:t>Afficher tendances, comparaisons N/N-1 et prévisions.</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Les méthodes de prévision et marges d’incertitude sont documentées.</w:t>
            </w:r>
          </w:p>
        </w:tc>
      </w:tr>
      <w:tr>
        <w:tc>
          <w:tcPr>
            <w:tcW w:type="dxa" w:w="1037"/>
            <w:tcMar>
              <w:top w:w="90" w:type="dxa"/>
              <w:start w:w="90" w:type="dxa"/>
              <w:bottom w:w="90" w:type="dxa"/>
              <w:end w:w="90" w:type="dxa"/>
            </w:tcMar>
            <w:vAlign w:val="top"/>
          </w:tcPr>
          <w:p>
            <w:r>
              <w:rPr>
                <w:sz w:val="16"/>
              </w:rPr>
              <w:t>BI-007</w:t>
            </w:r>
          </w:p>
        </w:tc>
        <w:tc>
          <w:tcPr>
            <w:tcW w:type="dxa" w:w="4680"/>
            <w:tcMar>
              <w:top w:w="90" w:type="dxa"/>
              <w:start w:w="90" w:type="dxa"/>
              <w:bottom w:w="90" w:type="dxa"/>
              <w:end w:w="90" w:type="dxa"/>
            </w:tcMar>
            <w:vAlign w:val="top"/>
          </w:tcPr>
          <w:p>
            <w:r>
              <w:rPr>
                <w:sz w:val="16"/>
              </w:rPr>
              <w:t>Maintenir un dictionnaire des KPI.</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Définition, formule, source, fréquence et propriétaire accessibles.</w:t>
            </w:r>
          </w:p>
        </w:tc>
      </w:tr>
      <w:tr>
        <w:tc>
          <w:tcPr>
            <w:tcW w:type="dxa" w:w="1037"/>
            <w:tcMar>
              <w:top w:w="90" w:type="dxa"/>
              <w:start w:w="90" w:type="dxa"/>
              <w:bottom w:w="90" w:type="dxa"/>
              <w:end w:w="90" w:type="dxa"/>
            </w:tcMar>
            <w:vAlign w:val="top"/>
          </w:tcPr>
          <w:p>
            <w:r>
              <w:rPr>
                <w:sz w:val="16"/>
              </w:rPr>
              <w:t>BI-008</w:t>
            </w:r>
          </w:p>
        </w:tc>
        <w:tc>
          <w:tcPr>
            <w:tcW w:type="dxa" w:w="4680"/>
            <w:tcMar>
              <w:top w:w="90" w:type="dxa"/>
              <w:start w:w="90" w:type="dxa"/>
              <w:bottom w:w="90" w:type="dxa"/>
              <w:end w:w="90" w:type="dxa"/>
            </w:tcMar>
            <w:vAlign w:val="top"/>
          </w:tcPr>
          <w:p>
            <w:r>
              <w:rPr>
                <w:sz w:val="16"/>
              </w:rPr>
              <w:t>Permettre des tableaux de bord personnalisés par rôle.</w:t>
            </w:r>
          </w:p>
        </w:tc>
        <w:tc>
          <w:tcPr>
            <w:tcW w:type="dxa" w:w="893"/>
            <w:tcMar>
              <w:top w:w="90" w:type="dxa"/>
              <w:start w:w="90" w:type="dxa"/>
              <w:bottom w:w="90" w:type="dxa"/>
              <w:end w:w="90" w:type="dxa"/>
            </w:tcMar>
            <w:vAlign w:val="top"/>
          </w:tcPr>
          <w:p>
            <w:r>
              <w:rPr>
                <w:sz w:val="16"/>
              </w:rPr>
              <w:t>Could</w:t>
            </w:r>
          </w:p>
        </w:tc>
        <w:tc>
          <w:tcPr>
            <w:tcW w:type="dxa" w:w="2952"/>
            <w:tcMar>
              <w:top w:w="90" w:type="dxa"/>
              <w:start w:w="90" w:type="dxa"/>
              <w:bottom w:w="90" w:type="dxa"/>
              <w:end w:w="90" w:type="dxa"/>
            </w:tcMar>
            <w:vAlign w:val="top"/>
          </w:tcPr>
          <w:p>
            <w:r>
              <w:rPr>
                <w:sz w:val="16"/>
              </w:rPr>
              <w:t>L’utilisateur peut enregistrer sa vue sans modifier la vue institutionnelle.</w:t>
            </w:r>
          </w:p>
        </w:tc>
      </w:tr>
    </w:tbl>
    <w:p>
      <w:pPr>
        <w:spacing w:after="20"/>
      </w:pPr>
    </w:p>
    <w:p>
      <w:pPr>
        <w:pStyle w:val="Heading2"/>
      </w:pPr>
      <w:r>
        <w:t>16.5 Innovations analytiques</w:t>
      </w:r>
    </w:p>
    <w:p>
      <w:pPr>
        <w:pStyle w:val="ListBullet"/>
      </w:pPr>
      <w:r>
        <w:t>Score de propension au paiement : probabilité explicable basée sur historique, retard, engagement et promesses.</w:t>
      </w:r>
    </w:p>
    <w:p>
      <w:pPr>
        <w:pStyle w:val="ListBullet"/>
      </w:pPr>
      <w:r>
        <w:t>Score de risque de départ : baisse de contribution, absence d’interaction, litiges, changements de contact.</w:t>
      </w:r>
    </w:p>
    <w:p>
      <w:pPr>
        <w:pStyle w:val="ListBullet"/>
      </w:pPr>
      <w:r>
        <w:t>Recommandation de prochaine meilleure action : canal, moment et message suggérés, validation humaine obligatoire.</w:t>
      </w:r>
    </w:p>
    <w:p>
      <w:pPr>
        <w:pStyle w:val="ListBullet"/>
      </w:pPr>
      <w:r>
        <w:t>Détection d’anomalies : paiements dupliqués, remises atypiques, changement de coordonnées, rapprochements inhabituels.</w:t>
      </w:r>
    </w:p>
    <w:p>
      <w:pPr>
        <w:pStyle w:val="ListBullet"/>
      </w:pPr>
      <w:r>
        <w:t>Prévision de trésorerie des cotisations selon échéances, historique, pipeline et scénarios.</w:t>
      </w:r>
    </w:p>
    <w:p>
      <w:pPr>
        <w:pStyle w:val="ListBullet"/>
      </w:pPr>
      <w:r>
        <w:t>Analyse de concentration pour réduire la dépendance aux cinq premiers contributeurs.</w:t>
      </w:r>
    </w:p>
    <w:p>
      <w:pPr>
        <w:pStyle w:val="Heading1"/>
      </w:pPr>
      <w:r>
        <w:t>17. Sécurité, audit et exigences non fonctionnelles</w:t>
      </w:r>
    </w:p>
    <w:p>
      <w:pPr>
        <w:pStyle w:val="Heading2"/>
      </w:pPr>
      <w:r>
        <w:t>17.1 Authentification et 2FA</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SEC-001</w:t>
            </w:r>
          </w:p>
        </w:tc>
        <w:tc>
          <w:tcPr>
            <w:tcW w:type="dxa" w:w="4680"/>
            <w:tcMar>
              <w:top w:w="90" w:type="dxa"/>
              <w:start w:w="90" w:type="dxa"/>
              <w:bottom w:w="90" w:type="dxa"/>
              <w:end w:w="90" w:type="dxa"/>
            </w:tcMar>
            <w:vAlign w:val="top"/>
          </w:tcPr>
          <w:p>
            <w:r>
              <w:rPr>
                <w:sz w:val="16"/>
              </w:rPr>
              <w:t>Imposer 2FA aux administrateurs, financiers et comptes sensibles.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TOTP, application d’authentification ou OTP; SMS en secours contrôlé.</w:t>
            </w:r>
          </w:p>
        </w:tc>
      </w:tr>
      <w:tr>
        <w:tc>
          <w:tcPr>
            <w:tcW w:type="dxa" w:w="1037"/>
            <w:tcMar>
              <w:top w:w="90" w:type="dxa"/>
              <w:start w:w="90" w:type="dxa"/>
              <w:bottom w:w="90" w:type="dxa"/>
              <w:end w:w="90" w:type="dxa"/>
            </w:tcMar>
            <w:vAlign w:val="top"/>
          </w:tcPr>
          <w:p>
            <w:r>
              <w:rPr>
                <w:sz w:val="16"/>
              </w:rPr>
              <w:t>SEC-002</w:t>
            </w:r>
          </w:p>
        </w:tc>
        <w:tc>
          <w:tcPr>
            <w:tcW w:type="dxa" w:w="4680"/>
            <w:tcMar>
              <w:top w:w="90" w:type="dxa"/>
              <w:start w:w="90" w:type="dxa"/>
              <w:bottom w:w="90" w:type="dxa"/>
              <w:end w:w="90" w:type="dxa"/>
            </w:tcMar>
            <w:vAlign w:val="top"/>
          </w:tcPr>
          <w:p>
            <w:r>
              <w:rPr>
                <w:sz w:val="16"/>
              </w:rPr>
              <w:t>Appliquer une authentification adaptative selon risque.</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Nouvel appareil, pays inhabituel ou action sensible déclenche une étape supplémentaire.</w:t>
            </w:r>
          </w:p>
        </w:tc>
      </w:tr>
      <w:tr>
        <w:tc>
          <w:tcPr>
            <w:tcW w:type="dxa" w:w="1037"/>
            <w:tcMar>
              <w:top w:w="90" w:type="dxa"/>
              <w:start w:w="90" w:type="dxa"/>
              <w:bottom w:w="90" w:type="dxa"/>
              <w:end w:w="90" w:type="dxa"/>
            </w:tcMar>
            <w:vAlign w:val="top"/>
          </w:tcPr>
          <w:p>
            <w:r>
              <w:rPr>
                <w:sz w:val="16"/>
              </w:rPr>
              <w:t>SEC-003</w:t>
            </w:r>
          </w:p>
        </w:tc>
        <w:tc>
          <w:tcPr>
            <w:tcW w:type="dxa" w:w="4680"/>
            <w:tcMar>
              <w:top w:w="90" w:type="dxa"/>
              <w:start w:w="90" w:type="dxa"/>
              <w:bottom w:w="90" w:type="dxa"/>
              <w:end w:w="90" w:type="dxa"/>
            </w:tcMar>
            <w:vAlign w:val="top"/>
          </w:tcPr>
          <w:p>
            <w:r>
              <w:rPr>
                <w:sz w:val="16"/>
              </w:rPr>
              <w:t>Gérer politique de mot de passe, verrouillage et récupération sécurisée.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La récupération ne révèle pas l’existence d’un compte.</w:t>
            </w:r>
          </w:p>
        </w:tc>
      </w:tr>
      <w:tr>
        <w:tc>
          <w:tcPr>
            <w:tcW w:type="dxa" w:w="1037"/>
            <w:tcMar>
              <w:top w:w="90" w:type="dxa"/>
              <w:start w:w="90" w:type="dxa"/>
              <w:bottom w:w="90" w:type="dxa"/>
              <w:end w:w="90" w:type="dxa"/>
            </w:tcMar>
            <w:vAlign w:val="top"/>
          </w:tcPr>
          <w:p>
            <w:r>
              <w:rPr>
                <w:sz w:val="16"/>
              </w:rPr>
              <w:t>SEC-004</w:t>
            </w:r>
          </w:p>
        </w:tc>
        <w:tc>
          <w:tcPr>
            <w:tcW w:type="dxa" w:w="4680"/>
            <w:tcMar>
              <w:top w:w="90" w:type="dxa"/>
              <w:start w:w="90" w:type="dxa"/>
              <w:bottom w:w="90" w:type="dxa"/>
              <w:end w:w="90" w:type="dxa"/>
            </w:tcMar>
            <w:vAlign w:val="top"/>
          </w:tcPr>
          <w:p>
            <w:r>
              <w:rPr>
                <w:sz w:val="16"/>
              </w:rPr>
              <w:t>Révoquer sessions et appareils depuis le profil.</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L’utilisateur voit les sessions actives et peut les fermer.</w:t>
            </w:r>
          </w:p>
        </w:tc>
      </w:tr>
      <w:tr>
        <w:tc>
          <w:tcPr>
            <w:tcW w:type="dxa" w:w="1037"/>
            <w:tcMar>
              <w:top w:w="90" w:type="dxa"/>
              <w:start w:w="90" w:type="dxa"/>
              <w:bottom w:w="90" w:type="dxa"/>
              <w:end w:w="90" w:type="dxa"/>
            </w:tcMar>
            <w:vAlign w:val="top"/>
          </w:tcPr>
          <w:p>
            <w:r>
              <w:rPr>
                <w:sz w:val="16"/>
              </w:rPr>
              <w:t>SEC-005</w:t>
            </w:r>
          </w:p>
        </w:tc>
        <w:tc>
          <w:tcPr>
            <w:tcW w:type="dxa" w:w="4680"/>
            <w:tcMar>
              <w:top w:w="90" w:type="dxa"/>
              <w:start w:w="90" w:type="dxa"/>
              <w:bottom w:w="90" w:type="dxa"/>
              <w:end w:w="90" w:type="dxa"/>
            </w:tcMar>
            <w:vAlign w:val="top"/>
          </w:tcPr>
          <w:p>
            <w:r>
              <w:rPr>
                <w:sz w:val="16"/>
              </w:rPr>
              <w:t>Supporter SSO/OIDC pour les agents CNPM.</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Intégration à un fournisseur d’identité possible sans refonte.</w:t>
            </w:r>
          </w:p>
        </w:tc>
      </w:tr>
    </w:tbl>
    <w:p>
      <w:pPr>
        <w:spacing w:after="20"/>
      </w:pPr>
    </w:p>
    <w:p>
      <w:pPr>
        <w:pStyle w:val="Heading2"/>
      </w:pPr>
      <w:r>
        <w:t>17.2 Autorisation et séparation des tâches</w:t>
      </w:r>
    </w:p>
    <w:p>
      <w:pPr>
        <w:pStyle w:val="ListBullet"/>
      </w:pPr>
      <w:r>
        <w:t>RBAC avec portée par entité, groupement, portefeuille, montant et type d’opération.</w:t>
      </w:r>
    </w:p>
    <w:p>
      <w:pPr>
        <w:pStyle w:val="ListBullet"/>
      </w:pPr>
      <w:r>
        <w:t>Approbation à quatre yeux pour barèmes, coordonnées de paiement, annulations, remboursements, remises et habilitations.</w:t>
      </w:r>
    </w:p>
    <w:p>
      <w:pPr>
        <w:pStyle w:val="ListBullet"/>
      </w:pPr>
      <w:r>
        <w:t>Délégation temporaire tracée, avec expiration automatique.</w:t>
      </w:r>
    </w:p>
    <w:p>
      <w:pPr>
        <w:pStyle w:val="ListBullet"/>
      </w:pPr>
      <w:r>
        <w:t>Masquage des données personnelles et financières selon rôle.</w:t>
      </w:r>
    </w:p>
    <w:p>
      <w:pPr>
        <w:pStyle w:val="ListBullet"/>
      </w:pPr>
      <w:r>
        <w:t>Interdiction des comptes partagés; identités nominatives obligatoires.</w:t>
      </w:r>
    </w:p>
    <w:p>
      <w:pPr>
        <w:pStyle w:val="Heading2"/>
      </w:pPr>
      <w:r>
        <w:t>17.3 Journal d’audit</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AUD-001</w:t>
            </w:r>
          </w:p>
        </w:tc>
        <w:tc>
          <w:tcPr>
            <w:tcW w:type="dxa" w:w="4680"/>
            <w:tcMar>
              <w:top w:w="90" w:type="dxa"/>
              <w:start w:w="90" w:type="dxa"/>
              <w:bottom w:w="90" w:type="dxa"/>
              <w:end w:w="90" w:type="dxa"/>
            </w:tcMar>
            <w:vAlign w:val="top"/>
          </w:tcPr>
          <w:p>
            <w:r>
              <w:rPr>
                <w:sz w:val="16"/>
              </w:rPr>
              <w:t>Journaliser connexions, consultations sensibles, créations, modifications, validations et exports.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Événement, auteur, horodatage, objet, avant/après, IP/appareil et résultat.</w:t>
            </w:r>
          </w:p>
        </w:tc>
      </w:tr>
      <w:tr>
        <w:tc>
          <w:tcPr>
            <w:tcW w:type="dxa" w:w="1037"/>
            <w:tcMar>
              <w:top w:w="90" w:type="dxa"/>
              <w:start w:w="90" w:type="dxa"/>
              <w:bottom w:w="90" w:type="dxa"/>
              <w:end w:w="90" w:type="dxa"/>
            </w:tcMar>
            <w:vAlign w:val="top"/>
          </w:tcPr>
          <w:p>
            <w:r>
              <w:rPr>
                <w:sz w:val="16"/>
              </w:rPr>
              <w:t>AUD-002</w:t>
            </w:r>
          </w:p>
        </w:tc>
        <w:tc>
          <w:tcPr>
            <w:tcW w:type="dxa" w:w="4680"/>
            <w:tcMar>
              <w:top w:w="90" w:type="dxa"/>
              <w:start w:w="90" w:type="dxa"/>
              <w:bottom w:w="90" w:type="dxa"/>
              <w:end w:w="90" w:type="dxa"/>
            </w:tcMar>
            <w:vAlign w:val="top"/>
          </w:tcPr>
          <w:p>
            <w:r>
              <w:rPr>
                <w:sz w:val="16"/>
              </w:rPr>
              <w:t>Rendre les journaux inaltérables et consultables par l’auditeur.</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Les utilisateurs opérationnels ne peuvent ni modifier ni supprimer.</w:t>
            </w:r>
          </w:p>
        </w:tc>
      </w:tr>
      <w:tr>
        <w:tc>
          <w:tcPr>
            <w:tcW w:type="dxa" w:w="1037"/>
            <w:tcMar>
              <w:top w:w="90" w:type="dxa"/>
              <w:start w:w="90" w:type="dxa"/>
              <w:bottom w:w="90" w:type="dxa"/>
              <w:end w:w="90" w:type="dxa"/>
            </w:tcMar>
            <w:vAlign w:val="top"/>
          </w:tcPr>
          <w:p>
            <w:r>
              <w:rPr>
                <w:sz w:val="16"/>
              </w:rPr>
              <w:t>AUD-003</w:t>
            </w:r>
          </w:p>
        </w:tc>
        <w:tc>
          <w:tcPr>
            <w:tcW w:type="dxa" w:w="4680"/>
            <w:tcMar>
              <w:top w:w="90" w:type="dxa"/>
              <w:start w:w="90" w:type="dxa"/>
              <w:bottom w:w="90" w:type="dxa"/>
              <w:end w:w="90" w:type="dxa"/>
            </w:tcMar>
            <w:vAlign w:val="top"/>
          </w:tcPr>
          <w:p>
            <w:r>
              <w:rPr>
                <w:sz w:val="16"/>
              </w:rPr>
              <w:t>Rechercher et exporter les événements pour une période.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Export signé/horodaté avec filtres et motif d’accès.</w:t>
            </w:r>
          </w:p>
        </w:tc>
      </w:tr>
      <w:tr>
        <w:tc>
          <w:tcPr>
            <w:tcW w:type="dxa" w:w="1037"/>
            <w:tcMar>
              <w:top w:w="90" w:type="dxa"/>
              <w:start w:w="90" w:type="dxa"/>
              <w:bottom w:w="90" w:type="dxa"/>
              <w:end w:w="90" w:type="dxa"/>
            </w:tcMar>
            <w:vAlign w:val="top"/>
          </w:tcPr>
          <w:p>
            <w:r>
              <w:rPr>
                <w:sz w:val="16"/>
              </w:rPr>
              <w:t>AUD-004</w:t>
            </w:r>
          </w:p>
        </w:tc>
        <w:tc>
          <w:tcPr>
            <w:tcW w:type="dxa" w:w="4680"/>
            <w:tcMar>
              <w:top w:w="90" w:type="dxa"/>
              <w:start w:w="90" w:type="dxa"/>
              <w:bottom w:w="90" w:type="dxa"/>
              <w:end w:w="90" w:type="dxa"/>
            </w:tcMar>
            <w:vAlign w:val="top"/>
          </w:tcPr>
          <w:p>
            <w:r>
              <w:rPr>
                <w:sz w:val="16"/>
              </w:rPr>
              <w:t>Déclencher alertes sur événements critiques.</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Exemples : compte privilégié, changement bancaire, export massif, échecs répétés.</w:t>
            </w:r>
          </w:p>
        </w:tc>
      </w:tr>
      <w:tr>
        <w:tc>
          <w:tcPr>
            <w:tcW w:type="dxa" w:w="1037"/>
            <w:tcMar>
              <w:top w:w="90" w:type="dxa"/>
              <w:start w:w="90" w:type="dxa"/>
              <w:bottom w:w="90" w:type="dxa"/>
              <w:end w:w="90" w:type="dxa"/>
            </w:tcMar>
            <w:vAlign w:val="top"/>
          </w:tcPr>
          <w:p>
            <w:r>
              <w:rPr>
                <w:sz w:val="16"/>
              </w:rPr>
              <w:t>AUD-005</w:t>
            </w:r>
          </w:p>
        </w:tc>
        <w:tc>
          <w:tcPr>
            <w:tcW w:type="dxa" w:w="4680"/>
            <w:tcMar>
              <w:top w:w="90" w:type="dxa"/>
              <w:start w:w="90" w:type="dxa"/>
              <w:bottom w:w="90" w:type="dxa"/>
              <w:end w:w="90" w:type="dxa"/>
            </w:tcMar>
            <w:vAlign w:val="top"/>
          </w:tcPr>
          <w:p>
            <w:r>
              <w:rPr>
                <w:sz w:val="16"/>
              </w:rPr>
              <w:t>Définir la durée de conservation par type de journal.</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La politique est paramétrable et conforme aux obligations applicables.</w:t>
            </w:r>
          </w:p>
        </w:tc>
      </w:tr>
    </w:tbl>
    <w:p>
      <w:pPr>
        <w:spacing w:after="20"/>
      </w:pPr>
    </w:p>
    <w:p>
      <w:pPr>
        <w:pStyle w:val="Heading2"/>
      </w:pPr>
      <w:r>
        <w:t>17.4 Exigences de performance et disponibilité</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448"/>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w:t>
            </w:r>
          </w:p>
        </w:tc>
        <w:tc>
          <w:tcPr>
            <w:tcW w:type="dxa" w:w="720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Cible</w:t>
            </w:r>
          </w:p>
        </w:tc>
      </w:tr>
      <w:tr>
        <w:tc>
          <w:tcPr>
            <w:tcW w:type="dxa" w:w="2448"/>
            <w:tcMar>
              <w:top w:w="90" w:type="dxa"/>
              <w:start w:w="90" w:type="dxa"/>
              <w:bottom w:w="90" w:type="dxa"/>
              <w:end w:w="90" w:type="dxa"/>
            </w:tcMar>
            <w:vAlign w:val="top"/>
          </w:tcPr>
          <w:p>
            <w:pPr>
              <w:spacing w:after="0"/>
            </w:pPr>
            <w:r>
              <w:rPr>
                <w:b w:val="0"/>
                <w:color w:val="1E2430"/>
                <w:sz w:val="17"/>
              </w:rPr>
              <w:t>Disponibilité</w:t>
            </w:r>
          </w:p>
        </w:tc>
        <w:tc>
          <w:tcPr>
            <w:tcW w:type="dxa" w:w="7200"/>
            <w:tcMar>
              <w:top w:w="90" w:type="dxa"/>
              <w:start w:w="90" w:type="dxa"/>
              <w:bottom w:w="90" w:type="dxa"/>
              <w:end w:w="90" w:type="dxa"/>
            </w:tcMar>
            <w:vAlign w:val="top"/>
          </w:tcPr>
          <w:p>
            <w:pPr>
              <w:spacing w:after="0"/>
            </w:pPr>
            <w:r>
              <w:rPr>
                <w:b w:val="0"/>
                <w:color w:val="1E2430"/>
                <w:sz w:val="17"/>
              </w:rPr>
              <w:t>99,5 % minimum mensuel hors maintenance planifiée; cible 99,9 % pour la production élargie.</w:t>
            </w:r>
          </w:p>
        </w:tc>
      </w:tr>
      <w:tr>
        <w:tc>
          <w:tcPr>
            <w:tcW w:type="dxa" w:w="2448"/>
            <w:tcMar>
              <w:top w:w="90" w:type="dxa"/>
              <w:start w:w="90" w:type="dxa"/>
              <w:bottom w:w="90" w:type="dxa"/>
              <w:end w:w="90" w:type="dxa"/>
            </w:tcMar>
            <w:vAlign w:val="top"/>
          </w:tcPr>
          <w:p>
            <w:pPr>
              <w:spacing w:after="0"/>
            </w:pPr>
            <w:r>
              <w:rPr>
                <w:b w:val="0"/>
                <w:color w:val="1E2430"/>
                <w:sz w:val="17"/>
              </w:rPr>
              <w:t>Temps de réponse</w:t>
            </w:r>
          </w:p>
        </w:tc>
        <w:tc>
          <w:tcPr>
            <w:tcW w:type="dxa" w:w="7200"/>
            <w:tcMar>
              <w:top w:w="90" w:type="dxa"/>
              <w:start w:w="90" w:type="dxa"/>
              <w:bottom w:w="90" w:type="dxa"/>
              <w:end w:w="90" w:type="dxa"/>
            </w:tcMar>
            <w:vAlign w:val="top"/>
          </w:tcPr>
          <w:p>
            <w:pPr>
              <w:spacing w:after="0"/>
            </w:pPr>
            <w:r>
              <w:rPr>
                <w:b w:val="0"/>
                <w:color w:val="1E2430"/>
                <w:sz w:val="17"/>
              </w:rPr>
              <w:t>95 % des écrans courants &lt; 2,5 s sur connexion correcte; &lt; 5 s en faible débit.</w:t>
            </w:r>
          </w:p>
        </w:tc>
      </w:tr>
      <w:tr>
        <w:tc>
          <w:tcPr>
            <w:tcW w:type="dxa" w:w="2448"/>
            <w:tcMar>
              <w:top w:w="90" w:type="dxa"/>
              <w:start w:w="90" w:type="dxa"/>
              <w:bottom w:w="90" w:type="dxa"/>
              <w:end w:w="90" w:type="dxa"/>
            </w:tcMar>
            <w:vAlign w:val="top"/>
          </w:tcPr>
          <w:p>
            <w:pPr>
              <w:spacing w:after="0"/>
            </w:pPr>
            <w:r>
              <w:rPr>
                <w:b w:val="0"/>
                <w:color w:val="1E2430"/>
                <w:sz w:val="17"/>
              </w:rPr>
              <w:t>Paiement</w:t>
            </w:r>
          </w:p>
        </w:tc>
        <w:tc>
          <w:tcPr>
            <w:tcW w:type="dxa" w:w="7200"/>
            <w:tcMar>
              <w:top w:w="90" w:type="dxa"/>
              <w:start w:w="90" w:type="dxa"/>
              <w:bottom w:w="90" w:type="dxa"/>
              <w:end w:w="90" w:type="dxa"/>
            </w:tcMar>
            <w:vAlign w:val="top"/>
          </w:tcPr>
          <w:p>
            <w:pPr>
              <w:spacing w:after="0"/>
            </w:pPr>
            <w:r>
              <w:rPr>
                <w:b w:val="0"/>
                <w:color w:val="1E2430"/>
                <w:sz w:val="17"/>
              </w:rPr>
              <w:t>Accusé de réception immédiat; statut final selon SLA du canal.</w:t>
            </w:r>
          </w:p>
        </w:tc>
      </w:tr>
      <w:tr>
        <w:tc>
          <w:tcPr>
            <w:tcW w:type="dxa" w:w="2448"/>
            <w:tcMar>
              <w:top w:w="90" w:type="dxa"/>
              <w:start w:w="90" w:type="dxa"/>
              <w:bottom w:w="90" w:type="dxa"/>
              <w:end w:w="90" w:type="dxa"/>
            </w:tcMar>
            <w:vAlign w:val="top"/>
          </w:tcPr>
          <w:p>
            <w:pPr>
              <w:spacing w:after="0"/>
            </w:pPr>
            <w:r>
              <w:rPr>
                <w:b w:val="0"/>
                <w:color w:val="1E2430"/>
                <w:sz w:val="17"/>
              </w:rPr>
              <w:t>Capacité</w:t>
            </w:r>
          </w:p>
        </w:tc>
        <w:tc>
          <w:tcPr>
            <w:tcW w:type="dxa" w:w="7200"/>
            <w:tcMar>
              <w:top w:w="90" w:type="dxa"/>
              <w:start w:w="90" w:type="dxa"/>
              <w:bottom w:w="90" w:type="dxa"/>
              <w:end w:w="90" w:type="dxa"/>
            </w:tcMar>
            <w:vAlign w:val="top"/>
          </w:tcPr>
          <w:p>
            <w:pPr>
              <w:spacing w:after="0"/>
            </w:pPr>
            <w:r>
              <w:rPr>
                <w:b w:val="0"/>
                <w:color w:val="1E2430"/>
                <w:sz w:val="17"/>
              </w:rPr>
              <w:t>Au moins 10 000 organisations, 100 000 contacts et historique pluriannuel, extensible.</w:t>
            </w:r>
          </w:p>
        </w:tc>
      </w:tr>
      <w:tr>
        <w:tc>
          <w:tcPr>
            <w:tcW w:type="dxa" w:w="2448"/>
            <w:tcMar>
              <w:top w:w="90" w:type="dxa"/>
              <w:start w:w="90" w:type="dxa"/>
              <w:bottom w:w="90" w:type="dxa"/>
              <w:end w:w="90" w:type="dxa"/>
            </w:tcMar>
            <w:vAlign w:val="top"/>
          </w:tcPr>
          <w:p>
            <w:pPr>
              <w:spacing w:after="0"/>
            </w:pPr>
            <w:r>
              <w:rPr>
                <w:b w:val="0"/>
                <w:color w:val="1E2430"/>
                <w:sz w:val="17"/>
              </w:rPr>
              <w:t>Concurrence</w:t>
            </w:r>
          </w:p>
        </w:tc>
        <w:tc>
          <w:tcPr>
            <w:tcW w:type="dxa" w:w="7200"/>
            <w:tcMar>
              <w:top w:w="90" w:type="dxa"/>
              <w:start w:w="90" w:type="dxa"/>
              <w:bottom w:w="90" w:type="dxa"/>
              <w:end w:w="90" w:type="dxa"/>
            </w:tcMar>
            <w:vAlign w:val="top"/>
          </w:tcPr>
          <w:p>
            <w:pPr>
              <w:spacing w:after="0"/>
            </w:pPr>
            <w:r>
              <w:rPr>
                <w:b w:val="0"/>
                <w:color w:val="1E2430"/>
                <w:sz w:val="17"/>
              </w:rPr>
              <w:t>Au moins 500 sessions simultanées au lancement, testées en charge.</w:t>
            </w:r>
          </w:p>
        </w:tc>
      </w:tr>
      <w:tr>
        <w:tc>
          <w:tcPr>
            <w:tcW w:type="dxa" w:w="2448"/>
            <w:tcMar>
              <w:top w:w="90" w:type="dxa"/>
              <w:start w:w="90" w:type="dxa"/>
              <w:bottom w:w="90" w:type="dxa"/>
              <w:end w:w="90" w:type="dxa"/>
            </w:tcMar>
            <w:vAlign w:val="top"/>
          </w:tcPr>
          <w:p>
            <w:pPr>
              <w:spacing w:after="0"/>
            </w:pPr>
            <w:r>
              <w:rPr>
                <w:b w:val="0"/>
                <w:color w:val="1E2430"/>
                <w:sz w:val="17"/>
              </w:rPr>
              <w:t>Sauvegarde</w:t>
            </w:r>
          </w:p>
        </w:tc>
        <w:tc>
          <w:tcPr>
            <w:tcW w:type="dxa" w:w="7200"/>
            <w:tcMar>
              <w:top w:w="90" w:type="dxa"/>
              <w:start w:w="90" w:type="dxa"/>
              <w:bottom w:w="90" w:type="dxa"/>
              <w:end w:w="90" w:type="dxa"/>
            </w:tcMar>
            <w:vAlign w:val="top"/>
          </w:tcPr>
          <w:p>
            <w:pPr>
              <w:spacing w:after="0"/>
            </w:pPr>
            <w:r>
              <w:rPr>
                <w:b w:val="0"/>
                <w:color w:val="1E2430"/>
                <w:sz w:val="17"/>
              </w:rPr>
              <w:t>PostgreSQL : archivage continu des WAL, sauvegardes complètes chiffrées et restauration à un instant donné; RPO cible 15 min, RTO cible 4 h.</w:t>
            </w:r>
          </w:p>
        </w:tc>
      </w:tr>
      <w:tr>
        <w:tc>
          <w:tcPr>
            <w:tcW w:type="dxa" w:w="2448"/>
            <w:tcMar>
              <w:top w:w="90" w:type="dxa"/>
              <w:start w:w="90" w:type="dxa"/>
              <w:bottom w:w="90" w:type="dxa"/>
              <w:end w:w="90" w:type="dxa"/>
            </w:tcMar>
            <w:vAlign w:val="top"/>
          </w:tcPr>
          <w:p>
            <w:pPr>
              <w:spacing w:after="0"/>
            </w:pPr>
            <w:r>
              <w:rPr>
                <w:b w:val="0"/>
                <w:color w:val="1E2430"/>
                <w:sz w:val="17"/>
              </w:rPr>
              <w:t>Reprise</w:t>
            </w:r>
          </w:p>
        </w:tc>
        <w:tc>
          <w:tcPr>
            <w:tcW w:type="dxa" w:w="7200"/>
            <w:tcMar>
              <w:top w:w="90" w:type="dxa"/>
              <w:start w:w="90" w:type="dxa"/>
              <w:bottom w:w="90" w:type="dxa"/>
              <w:end w:w="90" w:type="dxa"/>
            </w:tcMar>
            <w:vAlign w:val="top"/>
          </w:tcPr>
          <w:p>
            <w:pPr>
              <w:spacing w:after="0"/>
            </w:pPr>
            <w:r>
              <w:rPr>
                <w:b w:val="0"/>
                <w:color w:val="1E2430"/>
                <w:sz w:val="17"/>
              </w:rPr>
              <w:t>Bascule et PRA testés au moins annuellement; restauration PostgreSQL testée trimestriellement avec procès-verbal.</w:t>
            </w:r>
          </w:p>
        </w:tc>
      </w:tr>
      <w:tr>
        <w:tc>
          <w:tcPr>
            <w:tcW w:type="dxa" w:w="2448"/>
            <w:tcMar>
              <w:top w:w="90" w:type="dxa"/>
              <w:start w:w="90" w:type="dxa"/>
              <w:bottom w:w="90" w:type="dxa"/>
              <w:end w:w="90" w:type="dxa"/>
            </w:tcMar>
            <w:vAlign w:val="top"/>
          </w:tcPr>
          <w:p>
            <w:pPr>
              <w:spacing w:after="0"/>
            </w:pPr>
            <w:r>
              <w:rPr>
                <w:b w:val="0"/>
                <w:color w:val="1E2430"/>
                <w:sz w:val="17"/>
              </w:rPr>
              <w:t>Scalabilité</w:t>
            </w:r>
          </w:p>
        </w:tc>
        <w:tc>
          <w:tcPr>
            <w:tcW w:type="dxa" w:w="7200"/>
            <w:tcMar>
              <w:top w:w="90" w:type="dxa"/>
              <w:start w:w="90" w:type="dxa"/>
              <w:bottom w:w="90" w:type="dxa"/>
              <w:end w:w="90" w:type="dxa"/>
            </w:tcMar>
            <w:vAlign w:val="top"/>
          </w:tcPr>
          <w:p>
            <w:pPr>
              <w:spacing w:after="0"/>
            </w:pPr>
            <w:r>
              <w:rPr>
                <w:b w:val="0"/>
                <w:color w:val="1E2430"/>
                <w:sz w:val="17"/>
              </w:rPr>
              <w:t>Montée en charge horizontale et files asynchrones pour notifications/imports.</w:t>
            </w:r>
          </w:p>
        </w:tc>
      </w:tr>
    </w:tbl>
    <w:p>
      <w:pPr>
        <w:spacing w:after="20"/>
      </w:pPr>
    </w:p>
    <w:p>
      <w:pPr>
        <w:pStyle w:val="Heading2"/>
      </w:pPr>
      <w:r>
        <w:t>17.5 Qualité, accessibilité et compatibilité</w:t>
      </w:r>
    </w:p>
    <w:p>
      <w:pPr>
        <w:pStyle w:val="ListBullet"/>
      </w:pPr>
      <w:r>
        <w:t>Responsive desktop, tablette et smartphone; navigateurs modernes supportés.</w:t>
      </w:r>
    </w:p>
    <w:p>
      <w:pPr>
        <w:pStyle w:val="ListBullet"/>
      </w:pPr>
      <w:r>
        <w:t>WCAG 2.1 niveau AA pour les parcours principaux.</w:t>
      </w:r>
    </w:p>
    <w:p>
      <w:pPr>
        <w:pStyle w:val="ListBullet"/>
      </w:pPr>
      <w:r>
        <w:t>Formats de date, nombres et monnaie adaptés au Mali; fuseau horaire Africa/Bamako.</w:t>
      </w:r>
    </w:p>
    <w:p>
      <w:pPr>
        <w:pStyle w:val="ListBullet"/>
      </w:pPr>
      <w:r>
        <w:t>Interface française complète, architecture internationalisable.</w:t>
      </w:r>
    </w:p>
    <w:p>
      <w:pPr>
        <w:pStyle w:val="ListBullet"/>
      </w:pPr>
      <w:r>
        <w:t>Validation côté client et serveur, messages d’erreur compréhensibles et actionnables.</w:t>
      </w:r>
    </w:p>
    <w:p>
      <w:pPr>
        <w:pStyle w:val="ListBullet"/>
      </w:pPr>
      <w:r>
        <w:t>Aucune donnée financière sensible dans les journaux applicatifs en clair.</w:t>
      </w:r>
    </w:p>
    <w:p>
      <w:pPr>
        <w:pStyle w:val="Heading2"/>
      </w:pPr>
      <w:r>
        <w:t>17.6 Protection des données</w:t>
      </w:r>
    </w:p>
    <w:p>
      <w:pPr>
        <w:pStyle w:val="ListBullet"/>
      </w:pPr>
      <w:r>
        <w:t>Chiffrement TLS en transit et chiffrement des données sensibles au repos.</w:t>
      </w:r>
    </w:p>
    <w:p>
      <w:pPr>
        <w:pStyle w:val="ListBullet"/>
      </w:pPr>
      <w:r>
        <w:t>Classification des données, minimisation, limitation des finalités et consentement traçable.</w:t>
      </w:r>
    </w:p>
    <w:p>
      <w:pPr>
        <w:pStyle w:val="ListBullet"/>
      </w:pPr>
      <w:r>
        <w:t>Politique de conservation, anonymisation/pseudonymisation et suppression contrôlée.</w:t>
      </w:r>
    </w:p>
    <w:p>
      <w:pPr>
        <w:pStyle w:val="ListBullet"/>
      </w:pPr>
      <w:r>
        <w:t>Portabilité complète des données au profit du CNPM dans des formats ouverts.</w:t>
      </w:r>
    </w:p>
    <w:p>
      <w:pPr>
        <w:pStyle w:val="ListBullet"/>
      </w:pPr>
      <w:r>
        <w:t>Hébergement et sous-traitants documentés; accès support soumis à autorisation et journalisation.</w:t>
      </w:r>
    </w:p>
    <w:p>
      <w:pPr>
        <w:pStyle w:val="ListBullet"/>
      </w:pPr>
      <w:r>
        <w:t>Plan de réponse aux incidents avec notification, qualification, confinement et rapport post-incident.</w:t>
      </w:r>
    </w:p>
    <w:p>
      <w:pPr>
        <w:pStyle w:val="Heading1"/>
      </w:pPr>
      <w:r>
        <w:t>18. Intégrations, interopérabilité et architecture technique</w:t>
      </w:r>
    </w:p>
    <w:p>
      <w:pPr>
        <w:pStyle w:val="Heading2"/>
      </w:pPr>
      <w:r>
        <w:t>18.1 Architecture d’intégration</w:t>
      </w:r>
    </w:p>
    <w:p>
      <w:r>
        <w:t>Toutes les intégrations passent par une couche API sécurisée avec authentification forte, quotas, journalisation, idempotence, validation de schéma et gestion des erreurs. Les échanges asynchrones utilisent des files et mécanismes de reprise.</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3389"/>
        <w:gridCol w:w="3389"/>
        <w:gridCol w:w="3389"/>
      </w:tblGrid>
      <w:tr>
        <w:trPr>
          <w:tblHeader w:val="true"/>
        </w:trPr>
        <w:tc>
          <w:tcPr>
            <w:tcW w:type="dxa" w:w="1944"/>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Système</w:t>
            </w:r>
          </w:p>
        </w:tc>
        <w:tc>
          <w:tcPr>
            <w:tcW w:type="dxa" w:w="4608"/>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Flux principaux</w:t>
            </w:r>
          </w:p>
        </w:tc>
        <w:tc>
          <w:tcPr>
            <w:tcW w:type="dxa" w:w="3096"/>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Mode</w:t>
            </w:r>
          </w:p>
        </w:tc>
      </w:tr>
      <w:tr>
        <w:tc>
          <w:tcPr>
            <w:tcW w:type="dxa" w:w="1944"/>
            <w:tcMar>
              <w:top w:w="90" w:type="dxa"/>
              <w:start w:w="90" w:type="dxa"/>
              <w:bottom w:w="90" w:type="dxa"/>
              <w:end w:w="90" w:type="dxa"/>
            </w:tcMar>
            <w:vAlign w:val="top"/>
          </w:tcPr>
          <w:p>
            <w:r>
              <w:rPr>
                <w:sz w:val="17"/>
              </w:rPr>
              <w:t>Mobile Money</w:t>
            </w:r>
          </w:p>
        </w:tc>
        <w:tc>
          <w:tcPr>
            <w:tcW w:type="dxa" w:w="4608"/>
            <w:tcMar>
              <w:top w:w="90" w:type="dxa"/>
              <w:start w:w="90" w:type="dxa"/>
              <w:bottom w:w="90" w:type="dxa"/>
              <w:end w:w="90" w:type="dxa"/>
            </w:tcMar>
            <w:vAlign w:val="top"/>
          </w:tcPr>
          <w:p>
            <w:r>
              <w:rPr>
                <w:sz w:val="17"/>
              </w:rPr>
              <w:t>Initiation, statut, référence, frais, remboursement éventuel.</w:t>
            </w:r>
          </w:p>
        </w:tc>
        <w:tc>
          <w:tcPr>
            <w:tcW w:type="dxa" w:w="3096"/>
            <w:tcMar>
              <w:top w:w="90" w:type="dxa"/>
              <w:start w:w="90" w:type="dxa"/>
              <w:bottom w:w="90" w:type="dxa"/>
              <w:end w:w="90" w:type="dxa"/>
            </w:tcMar>
            <w:vAlign w:val="top"/>
          </w:tcPr>
          <w:p>
            <w:r>
              <w:rPr>
                <w:sz w:val="17"/>
              </w:rPr>
              <w:t>API REST / webhook signé</w:t>
            </w:r>
          </w:p>
        </w:tc>
      </w:tr>
      <w:tr>
        <w:tc>
          <w:tcPr>
            <w:tcW w:type="dxa" w:w="1944"/>
            <w:tcMar>
              <w:top w:w="90" w:type="dxa"/>
              <w:start w:w="90" w:type="dxa"/>
              <w:bottom w:w="90" w:type="dxa"/>
              <w:end w:w="90" w:type="dxa"/>
            </w:tcMar>
            <w:vAlign w:val="top"/>
          </w:tcPr>
          <w:p>
            <w:r>
              <w:rPr>
                <w:sz w:val="17"/>
              </w:rPr>
              <w:t>Banques</w:t>
            </w:r>
          </w:p>
        </w:tc>
        <w:tc>
          <w:tcPr>
            <w:tcW w:type="dxa" w:w="4608"/>
            <w:tcMar>
              <w:top w:w="90" w:type="dxa"/>
              <w:start w:w="90" w:type="dxa"/>
              <w:bottom w:w="90" w:type="dxa"/>
              <w:end w:w="90" w:type="dxa"/>
            </w:tcMar>
            <w:vAlign w:val="top"/>
          </w:tcPr>
          <w:p>
            <w:r>
              <w:rPr>
                <w:sz w:val="17"/>
              </w:rPr>
              <w:t>Références, relevés, transactions, statuts.</w:t>
            </w:r>
          </w:p>
        </w:tc>
        <w:tc>
          <w:tcPr>
            <w:tcW w:type="dxa" w:w="3096"/>
            <w:tcMar>
              <w:top w:w="90" w:type="dxa"/>
              <w:start w:w="90" w:type="dxa"/>
              <w:bottom w:w="90" w:type="dxa"/>
              <w:end w:w="90" w:type="dxa"/>
            </w:tcMar>
            <w:vAlign w:val="top"/>
          </w:tcPr>
          <w:p>
            <w:r>
              <w:rPr>
                <w:sz w:val="17"/>
              </w:rPr>
              <w:t>API, SFTP ou fichiers normalisés</w:t>
            </w:r>
          </w:p>
        </w:tc>
      </w:tr>
      <w:tr>
        <w:tc>
          <w:tcPr>
            <w:tcW w:type="dxa" w:w="1944"/>
            <w:tcMar>
              <w:top w:w="90" w:type="dxa"/>
              <w:start w:w="90" w:type="dxa"/>
              <w:bottom w:w="90" w:type="dxa"/>
              <w:end w:w="90" w:type="dxa"/>
            </w:tcMar>
            <w:vAlign w:val="top"/>
          </w:tcPr>
          <w:p>
            <w:r>
              <w:rPr>
                <w:sz w:val="17"/>
              </w:rPr>
              <w:t>SMS</w:t>
            </w:r>
          </w:p>
        </w:tc>
        <w:tc>
          <w:tcPr>
            <w:tcW w:type="dxa" w:w="4608"/>
            <w:tcMar>
              <w:top w:w="90" w:type="dxa"/>
              <w:start w:w="90" w:type="dxa"/>
              <w:bottom w:w="90" w:type="dxa"/>
              <w:end w:w="90" w:type="dxa"/>
            </w:tcMar>
            <w:vAlign w:val="top"/>
          </w:tcPr>
          <w:p>
            <w:r>
              <w:rPr>
                <w:sz w:val="17"/>
              </w:rPr>
              <w:t>OTP, relances, confirmations, alertes.</w:t>
            </w:r>
          </w:p>
        </w:tc>
        <w:tc>
          <w:tcPr>
            <w:tcW w:type="dxa" w:w="3096"/>
            <w:tcMar>
              <w:top w:w="90" w:type="dxa"/>
              <w:start w:w="90" w:type="dxa"/>
              <w:bottom w:w="90" w:type="dxa"/>
              <w:end w:w="90" w:type="dxa"/>
            </w:tcMar>
            <w:vAlign w:val="top"/>
          </w:tcPr>
          <w:p>
            <w:r>
              <w:rPr>
                <w:sz w:val="17"/>
              </w:rPr>
              <w:t>API fournisseur</w:t>
            </w:r>
          </w:p>
        </w:tc>
      </w:tr>
      <w:tr>
        <w:tc>
          <w:tcPr>
            <w:tcW w:type="dxa" w:w="1944"/>
            <w:tcMar>
              <w:top w:w="90" w:type="dxa"/>
              <w:start w:w="90" w:type="dxa"/>
              <w:bottom w:w="90" w:type="dxa"/>
              <w:end w:w="90" w:type="dxa"/>
            </w:tcMar>
            <w:vAlign w:val="top"/>
          </w:tcPr>
          <w:p>
            <w:r>
              <w:rPr>
                <w:sz w:val="17"/>
              </w:rPr>
              <w:t>E-mail</w:t>
            </w:r>
          </w:p>
        </w:tc>
        <w:tc>
          <w:tcPr>
            <w:tcW w:type="dxa" w:w="4608"/>
            <w:tcMar>
              <w:top w:w="90" w:type="dxa"/>
              <w:start w:w="90" w:type="dxa"/>
              <w:bottom w:w="90" w:type="dxa"/>
              <w:end w:w="90" w:type="dxa"/>
            </w:tcMar>
            <w:vAlign w:val="top"/>
          </w:tcPr>
          <w:p>
            <w:r>
              <w:rPr>
                <w:sz w:val="17"/>
              </w:rPr>
              <w:t>Notifications, appels, reçus, campagnes.</w:t>
            </w:r>
          </w:p>
        </w:tc>
        <w:tc>
          <w:tcPr>
            <w:tcW w:type="dxa" w:w="3096"/>
            <w:tcMar>
              <w:top w:w="90" w:type="dxa"/>
              <w:start w:w="90" w:type="dxa"/>
              <w:bottom w:w="90" w:type="dxa"/>
              <w:end w:w="90" w:type="dxa"/>
            </w:tcMar>
            <w:vAlign w:val="top"/>
          </w:tcPr>
          <w:p>
            <w:r>
              <w:rPr>
                <w:sz w:val="17"/>
              </w:rPr>
              <w:t>API/SMTP sécurisé</w:t>
            </w:r>
          </w:p>
        </w:tc>
      </w:tr>
      <w:tr>
        <w:tc>
          <w:tcPr>
            <w:tcW w:type="dxa" w:w="1944"/>
            <w:tcMar>
              <w:top w:w="90" w:type="dxa"/>
              <w:start w:w="90" w:type="dxa"/>
              <w:bottom w:w="90" w:type="dxa"/>
              <w:end w:w="90" w:type="dxa"/>
            </w:tcMar>
            <w:vAlign w:val="top"/>
          </w:tcPr>
          <w:p>
            <w:r>
              <w:rPr>
                <w:sz w:val="17"/>
              </w:rPr>
              <w:t>INPS futur</w:t>
            </w:r>
          </w:p>
        </w:tc>
        <w:tc>
          <w:tcPr>
            <w:tcW w:type="dxa" w:w="4608"/>
            <w:tcMar>
              <w:top w:w="90" w:type="dxa"/>
              <w:start w:w="90" w:type="dxa"/>
              <w:bottom w:w="90" w:type="dxa"/>
              <w:end w:w="90" w:type="dxa"/>
            </w:tcMar>
            <w:vAlign w:val="top"/>
          </w:tcPr>
          <w:p>
            <w:r>
              <w:rPr>
                <w:sz w:val="17"/>
              </w:rPr>
              <w:t>Identification entreprise, correspondances, données autorisées, statut.</w:t>
            </w:r>
          </w:p>
        </w:tc>
        <w:tc>
          <w:tcPr>
            <w:tcW w:type="dxa" w:w="3096"/>
            <w:tcMar>
              <w:top w:w="90" w:type="dxa"/>
              <w:start w:w="90" w:type="dxa"/>
              <w:bottom w:w="90" w:type="dxa"/>
              <w:end w:w="90" w:type="dxa"/>
            </w:tcMar>
            <w:vAlign w:val="top"/>
          </w:tcPr>
          <w:p>
            <w:r>
              <w:rPr>
                <w:sz w:val="17"/>
              </w:rPr>
              <w:t>API versionnée / échange sécurisé</w:t>
            </w:r>
          </w:p>
        </w:tc>
      </w:tr>
      <w:tr>
        <w:tc>
          <w:tcPr>
            <w:tcW w:type="dxa" w:w="1944"/>
            <w:tcMar>
              <w:top w:w="90" w:type="dxa"/>
              <w:start w:w="90" w:type="dxa"/>
              <w:bottom w:w="90" w:type="dxa"/>
              <w:end w:w="90" w:type="dxa"/>
            </w:tcMar>
            <w:vAlign w:val="top"/>
          </w:tcPr>
          <w:p>
            <w:r>
              <w:rPr>
                <w:sz w:val="17"/>
              </w:rPr>
              <w:t>Identité CNPM</w:t>
            </w:r>
          </w:p>
        </w:tc>
        <w:tc>
          <w:tcPr>
            <w:tcW w:type="dxa" w:w="4608"/>
            <w:tcMar>
              <w:top w:w="90" w:type="dxa"/>
              <w:start w:w="90" w:type="dxa"/>
              <w:bottom w:w="90" w:type="dxa"/>
              <w:end w:w="90" w:type="dxa"/>
            </w:tcMar>
            <w:vAlign w:val="top"/>
          </w:tcPr>
          <w:p>
            <w:r>
              <w:rPr>
                <w:sz w:val="17"/>
              </w:rPr>
              <w:t>SSO agents, groupes, rôles.</w:t>
            </w:r>
          </w:p>
        </w:tc>
        <w:tc>
          <w:tcPr>
            <w:tcW w:type="dxa" w:w="3096"/>
            <w:tcMar>
              <w:top w:w="90" w:type="dxa"/>
              <w:start w:w="90" w:type="dxa"/>
              <w:bottom w:w="90" w:type="dxa"/>
              <w:end w:w="90" w:type="dxa"/>
            </w:tcMar>
            <w:vAlign w:val="top"/>
          </w:tcPr>
          <w:p>
            <w:r>
              <w:rPr>
                <w:sz w:val="17"/>
              </w:rPr>
              <w:t>OIDC/SAML</w:t>
            </w:r>
          </w:p>
        </w:tc>
      </w:tr>
      <w:tr>
        <w:tc>
          <w:tcPr>
            <w:tcW w:type="dxa" w:w="1944"/>
            <w:tcMar>
              <w:top w:w="90" w:type="dxa"/>
              <w:start w:w="90" w:type="dxa"/>
              <w:bottom w:w="90" w:type="dxa"/>
              <w:end w:w="90" w:type="dxa"/>
            </w:tcMar>
            <w:vAlign w:val="top"/>
          </w:tcPr>
          <w:p>
            <w:r>
              <w:rPr>
                <w:sz w:val="17"/>
              </w:rPr>
              <w:t>Signature électronique</w:t>
            </w:r>
          </w:p>
        </w:tc>
        <w:tc>
          <w:tcPr>
            <w:tcW w:type="dxa" w:w="4608"/>
            <w:tcMar>
              <w:top w:w="90" w:type="dxa"/>
              <w:start w:w="90" w:type="dxa"/>
              <w:bottom w:w="90" w:type="dxa"/>
              <w:end w:w="90" w:type="dxa"/>
            </w:tcMar>
            <w:vAlign w:val="top"/>
          </w:tcPr>
          <w:p>
            <w:r>
              <w:rPr>
                <w:sz w:val="17"/>
              </w:rPr>
              <w:t>Signature reçus, attestations et documents.</w:t>
            </w:r>
          </w:p>
        </w:tc>
        <w:tc>
          <w:tcPr>
            <w:tcW w:type="dxa" w:w="3096"/>
            <w:tcMar>
              <w:top w:w="90" w:type="dxa"/>
              <w:start w:w="90" w:type="dxa"/>
              <w:bottom w:w="90" w:type="dxa"/>
              <w:end w:w="90" w:type="dxa"/>
            </w:tcMar>
            <w:vAlign w:val="top"/>
          </w:tcPr>
          <w:p>
            <w:r>
              <w:rPr>
                <w:sz w:val="17"/>
              </w:rPr>
              <w:t>API / certificat CNPM</w:t>
            </w:r>
          </w:p>
        </w:tc>
      </w:tr>
      <w:tr>
        <w:tc>
          <w:tcPr>
            <w:tcW w:type="dxa" w:w="1944"/>
            <w:tcMar>
              <w:top w:w="90" w:type="dxa"/>
              <w:start w:w="90" w:type="dxa"/>
              <w:bottom w:w="90" w:type="dxa"/>
              <w:end w:w="90" w:type="dxa"/>
            </w:tcMar>
            <w:vAlign w:val="top"/>
          </w:tcPr>
          <w:p>
            <w:r>
              <w:rPr>
                <w:sz w:val="17"/>
              </w:rPr>
              <w:t>BI externe</w:t>
            </w:r>
          </w:p>
        </w:tc>
        <w:tc>
          <w:tcPr>
            <w:tcW w:type="dxa" w:w="4608"/>
            <w:tcMar>
              <w:top w:w="90" w:type="dxa"/>
              <w:start w:w="90" w:type="dxa"/>
              <w:bottom w:w="90" w:type="dxa"/>
              <w:end w:w="90" w:type="dxa"/>
            </w:tcMar>
            <w:vAlign w:val="top"/>
          </w:tcPr>
          <w:p>
            <w:r>
              <w:rPr>
                <w:sz w:val="17"/>
              </w:rPr>
              <w:t>Exports gouvernés ou vues sécurisées.</w:t>
            </w:r>
          </w:p>
        </w:tc>
        <w:tc>
          <w:tcPr>
            <w:tcW w:type="dxa" w:w="3096"/>
            <w:tcMar>
              <w:top w:w="90" w:type="dxa"/>
              <w:start w:w="90" w:type="dxa"/>
              <w:bottom w:w="90" w:type="dxa"/>
              <w:end w:w="90" w:type="dxa"/>
            </w:tcMar>
            <w:vAlign w:val="top"/>
          </w:tcPr>
          <w:p>
            <w:r>
              <w:rPr>
                <w:sz w:val="17"/>
              </w:rPr>
              <w:t>API, réplication ou fichiers</w:t>
            </w:r>
          </w:p>
        </w:tc>
      </w:tr>
      <w:tr>
        <w:tc>
          <w:tcPr>
            <w:tcW w:type="dxa" w:w="1944"/>
            <w:tcMar>
              <w:top w:w="90" w:type="dxa"/>
              <w:start w:w="90" w:type="dxa"/>
              <w:bottom w:w="90" w:type="dxa"/>
              <w:end w:w="90" w:type="dxa"/>
            </w:tcMar>
            <w:vAlign w:val="top"/>
          </w:tcPr>
          <w:p>
            <w:r>
              <w:rPr>
                <w:sz w:val="17"/>
              </w:rPr>
              <w:t>Support</w:t>
            </w:r>
          </w:p>
        </w:tc>
        <w:tc>
          <w:tcPr>
            <w:tcW w:type="dxa" w:w="4608"/>
            <w:tcMar>
              <w:top w:w="90" w:type="dxa"/>
              <w:start w:w="90" w:type="dxa"/>
              <w:bottom w:w="90" w:type="dxa"/>
              <w:end w:w="90" w:type="dxa"/>
            </w:tcMar>
            <w:vAlign w:val="top"/>
          </w:tcPr>
          <w:p>
            <w:r>
              <w:rPr>
                <w:sz w:val="17"/>
              </w:rPr>
              <w:t>Tickets techniques et supervision.</w:t>
            </w:r>
          </w:p>
        </w:tc>
        <w:tc>
          <w:tcPr>
            <w:tcW w:type="dxa" w:w="3096"/>
            <w:tcMar>
              <w:top w:w="90" w:type="dxa"/>
              <w:start w:w="90" w:type="dxa"/>
              <w:bottom w:w="90" w:type="dxa"/>
              <w:end w:w="90" w:type="dxa"/>
            </w:tcMar>
            <w:vAlign w:val="top"/>
          </w:tcPr>
          <w:p>
            <w:r>
              <w:rPr>
                <w:sz w:val="17"/>
              </w:rPr>
              <w:t>API optionnelle</w:t>
            </w:r>
          </w:p>
        </w:tc>
      </w:tr>
    </w:tbl>
    <w:p>
      <w:pPr>
        <w:spacing w:after="20"/>
      </w:pPr>
    </w:p>
    <w:p>
      <w:pPr>
        <w:pStyle w:val="Heading2"/>
      </w:pPr>
      <w:r>
        <w:t>18.2 Interopérabilité INPS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46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fonctionnelle</w:t>
            </w:r>
          </w:p>
        </w:tc>
        <w:tc>
          <w:tcPr>
            <w:tcW w:type="dxa" w:w="893"/>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295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Critère d’acceptation</w:t>
            </w:r>
          </w:p>
        </w:tc>
      </w:tr>
      <w:tr>
        <w:tc>
          <w:tcPr>
            <w:tcW w:type="dxa" w:w="1037"/>
            <w:tcMar>
              <w:top w:w="90" w:type="dxa"/>
              <w:start w:w="90" w:type="dxa"/>
              <w:bottom w:w="90" w:type="dxa"/>
              <w:end w:w="90" w:type="dxa"/>
            </w:tcMar>
            <w:vAlign w:val="top"/>
          </w:tcPr>
          <w:p>
            <w:r>
              <w:rPr>
                <w:sz w:val="16"/>
              </w:rPr>
              <w:t>INT-001</w:t>
            </w:r>
          </w:p>
        </w:tc>
        <w:tc>
          <w:tcPr>
            <w:tcW w:type="dxa" w:w="4680"/>
            <w:tcMar>
              <w:top w:w="90" w:type="dxa"/>
              <w:start w:w="90" w:type="dxa"/>
              <w:bottom w:w="90" w:type="dxa"/>
              <w:end w:w="90" w:type="dxa"/>
            </w:tcMar>
            <w:vAlign w:val="top"/>
          </w:tcPr>
          <w:p>
            <w:r>
              <w:rPr>
                <w:sz w:val="16"/>
              </w:rPr>
              <w:t>Prévoir un identifiant de correspondance externe par entreprise.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Plusieurs identifiants externes peuvent être liés sans remplacer l’ID CNPM.</w:t>
            </w:r>
          </w:p>
        </w:tc>
      </w:tr>
      <w:tr>
        <w:tc>
          <w:tcPr>
            <w:tcW w:type="dxa" w:w="1037"/>
            <w:tcMar>
              <w:top w:w="90" w:type="dxa"/>
              <w:start w:w="90" w:type="dxa"/>
              <w:bottom w:w="90" w:type="dxa"/>
              <w:end w:w="90" w:type="dxa"/>
            </w:tcMar>
            <w:vAlign w:val="top"/>
          </w:tcPr>
          <w:p>
            <w:r>
              <w:rPr>
                <w:sz w:val="16"/>
              </w:rPr>
              <w:t>INT-002</w:t>
            </w:r>
          </w:p>
        </w:tc>
        <w:tc>
          <w:tcPr>
            <w:tcW w:type="dxa" w:w="4680"/>
            <w:tcMar>
              <w:top w:w="90" w:type="dxa"/>
              <w:start w:w="90" w:type="dxa"/>
              <w:bottom w:w="90" w:type="dxa"/>
              <w:end w:w="90" w:type="dxa"/>
            </w:tcMar>
            <w:vAlign w:val="top"/>
          </w:tcPr>
          <w:p>
            <w:r>
              <w:rPr>
                <w:sz w:val="16"/>
              </w:rPr>
              <w:t>Versionner les API et contrats d’échange.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Une nouvelle version n’interrompt pas les consommateurs existants.</w:t>
            </w:r>
          </w:p>
        </w:tc>
      </w:tr>
      <w:tr>
        <w:tc>
          <w:tcPr>
            <w:tcW w:type="dxa" w:w="1037"/>
            <w:tcMar>
              <w:top w:w="90" w:type="dxa"/>
              <w:start w:w="90" w:type="dxa"/>
              <w:bottom w:w="90" w:type="dxa"/>
              <w:end w:w="90" w:type="dxa"/>
            </w:tcMar>
            <w:vAlign w:val="top"/>
          </w:tcPr>
          <w:p>
            <w:r>
              <w:rPr>
                <w:sz w:val="16"/>
              </w:rPr>
              <w:t>INT-003</w:t>
            </w:r>
          </w:p>
        </w:tc>
        <w:tc>
          <w:tcPr>
            <w:tcW w:type="dxa" w:w="4680"/>
            <w:tcMar>
              <w:top w:w="90" w:type="dxa"/>
              <w:start w:w="90" w:type="dxa"/>
              <w:bottom w:w="90" w:type="dxa"/>
              <w:end w:w="90" w:type="dxa"/>
            </w:tcMar>
            <w:vAlign w:val="top"/>
          </w:tcPr>
          <w:p>
            <w:r>
              <w:rPr>
                <w:sz w:val="16"/>
              </w:rPr>
              <w:t>Gérer consentement et base légale avant tout échange.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Chaque flux est documenté et autorisé.</w:t>
            </w:r>
          </w:p>
        </w:tc>
      </w:tr>
      <w:tr>
        <w:tc>
          <w:tcPr>
            <w:tcW w:type="dxa" w:w="1037"/>
            <w:tcMar>
              <w:top w:w="90" w:type="dxa"/>
              <w:start w:w="90" w:type="dxa"/>
              <w:bottom w:w="90" w:type="dxa"/>
              <w:end w:w="90" w:type="dxa"/>
            </w:tcMar>
            <w:vAlign w:val="top"/>
          </w:tcPr>
          <w:p>
            <w:r>
              <w:rPr>
                <w:sz w:val="16"/>
              </w:rPr>
              <w:t>INT-004</w:t>
            </w:r>
          </w:p>
        </w:tc>
        <w:tc>
          <w:tcPr>
            <w:tcW w:type="dxa" w:w="4680"/>
            <w:tcMar>
              <w:top w:w="90" w:type="dxa"/>
              <w:start w:w="90" w:type="dxa"/>
              <w:bottom w:w="90" w:type="dxa"/>
              <w:end w:w="90" w:type="dxa"/>
            </w:tcMar>
            <w:vAlign w:val="top"/>
          </w:tcPr>
          <w:p>
            <w:r>
              <w:rPr>
                <w:sz w:val="16"/>
              </w:rPr>
              <w:t>Tracer l’origine, la date et la qualité de chaque donnée importée.</w:t>
            </w:r>
          </w:p>
        </w:tc>
        <w:tc>
          <w:tcPr>
            <w:tcW w:type="dxa" w:w="893"/>
            <w:tcMar>
              <w:top w:w="90" w:type="dxa"/>
              <w:start w:w="90" w:type="dxa"/>
              <w:bottom w:w="90" w:type="dxa"/>
              <w:end w:w="90" w:type="dxa"/>
            </w:tcMar>
            <w:vAlign w:val="top"/>
          </w:tcPr>
          <w:p>
            <w:r>
              <w:rPr>
                <w:sz w:val="16"/>
              </w:rPr>
              <w:t>Must</w:t>
            </w:r>
          </w:p>
        </w:tc>
        <w:tc>
          <w:tcPr>
            <w:tcW w:type="dxa" w:w="2952"/>
            <w:tcMar>
              <w:top w:w="90" w:type="dxa"/>
              <w:start w:w="90" w:type="dxa"/>
              <w:bottom w:w="90" w:type="dxa"/>
              <w:end w:w="90" w:type="dxa"/>
            </w:tcMar>
            <w:vAlign w:val="top"/>
          </w:tcPr>
          <w:p>
            <w:r>
              <w:rPr>
                <w:sz w:val="16"/>
              </w:rPr>
              <w:t>La provenance reste visible et auditable.</w:t>
            </w:r>
          </w:p>
        </w:tc>
      </w:tr>
      <w:tr>
        <w:tc>
          <w:tcPr>
            <w:tcW w:type="dxa" w:w="1037"/>
            <w:tcMar>
              <w:top w:w="90" w:type="dxa"/>
              <w:start w:w="90" w:type="dxa"/>
              <w:bottom w:w="90" w:type="dxa"/>
              <w:end w:w="90" w:type="dxa"/>
            </w:tcMar>
            <w:vAlign w:val="top"/>
          </w:tcPr>
          <w:p>
            <w:r>
              <w:rPr>
                <w:sz w:val="16"/>
              </w:rPr>
              <w:t>INT-005</w:t>
            </w:r>
          </w:p>
        </w:tc>
        <w:tc>
          <w:tcPr>
            <w:tcW w:type="dxa" w:w="4680"/>
            <w:tcMar>
              <w:top w:w="90" w:type="dxa"/>
              <w:start w:w="90" w:type="dxa"/>
              <w:bottom w:w="90" w:type="dxa"/>
              <w:end w:w="90" w:type="dxa"/>
            </w:tcMar>
            <w:vAlign w:val="top"/>
          </w:tcPr>
          <w:p>
            <w:r>
              <w:rPr>
                <w:sz w:val="16"/>
              </w:rPr>
              <w:t>Résoudre les conflits de données selon règles de confiance.</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Aucune donnée CNPM validée n’est écrasée silencieusement.</w:t>
            </w:r>
          </w:p>
        </w:tc>
      </w:tr>
      <w:tr>
        <w:tc>
          <w:tcPr>
            <w:tcW w:type="dxa" w:w="1037"/>
            <w:tcMar>
              <w:top w:w="90" w:type="dxa"/>
              <w:start w:w="90" w:type="dxa"/>
              <w:bottom w:w="90" w:type="dxa"/>
              <w:end w:w="90" w:type="dxa"/>
            </w:tcMar>
            <w:vAlign w:val="top"/>
          </w:tcPr>
          <w:p>
            <w:r>
              <w:rPr>
                <w:sz w:val="16"/>
              </w:rPr>
              <w:t>INT-006</w:t>
            </w:r>
          </w:p>
        </w:tc>
        <w:tc>
          <w:tcPr>
            <w:tcW w:type="dxa" w:w="4680"/>
            <w:tcMar>
              <w:top w:w="90" w:type="dxa"/>
              <w:start w:w="90" w:type="dxa"/>
              <w:bottom w:w="90" w:type="dxa"/>
              <w:end w:w="90" w:type="dxa"/>
            </w:tcMar>
            <w:vAlign w:val="top"/>
          </w:tcPr>
          <w:p>
            <w:r>
              <w:rPr>
                <w:sz w:val="16"/>
              </w:rPr>
              <w:t>Tester l’intégration dans un environnement sandbox.</w:t>
            </w:r>
          </w:p>
        </w:tc>
        <w:tc>
          <w:tcPr>
            <w:tcW w:type="dxa" w:w="893"/>
            <w:tcMar>
              <w:top w:w="90" w:type="dxa"/>
              <w:start w:w="90" w:type="dxa"/>
              <w:bottom w:w="90" w:type="dxa"/>
              <w:end w:w="90" w:type="dxa"/>
            </w:tcMar>
            <w:vAlign w:val="top"/>
          </w:tcPr>
          <w:p>
            <w:r>
              <w:rPr>
                <w:sz w:val="16"/>
              </w:rPr>
              <w:t>Should</w:t>
            </w:r>
          </w:p>
        </w:tc>
        <w:tc>
          <w:tcPr>
            <w:tcW w:type="dxa" w:w="2952"/>
            <w:tcMar>
              <w:top w:w="90" w:type="dxa"/>
              <w:start w:w="90" w:type="dxa"/>
              <w:bottom w:w="90" w:type="dxa"/>
              <w:end w:w="90" w:type="dxa"/>
            </w:tcMar>
            <w:vAlign w:val="top"/>
          </w:tcPr>
          <w:p>
            <w:r>
              <w:rPr>
                <w:sz w:val="16"/>
              </w:rPr>
              <w:t>Jeux de données fictifs, clés distinctes et journal de tests.</w:t>
            </w:r>
          </w:p>
        </w:tc>
      </w:tr>
    </w:tbl>
    <w:p>
      <w:pPr>
        <w:spacing w:after="20"/>
      </w:pPr>
    </w:p>
    <w:p>
      <w:pPr>
        <w:pStyle w:val="Heading2"/>
        <w:pageBreakBefore w:val="0"/>
      </w:pPr>
      <w:r>
        <w:t>18.3 Architecture technique de référence</w:t>
      </w:r>
    </w:p>
    <w:tbl>
      <w:tblPr>
        <w:tblW w:type="auto" w:w="0"/>
        <w:jc w:val="center"/>
        <w:tblLayout w:type="fixed"/>
        <w:tblLook w:firstColumn="1" w:firstRow="1" w:lastColumn="0" w:lastRow="0" w:noHBand="0" w:noVBand="1" w:val="04A0"/>
        <w:tblBorders>
          <w:top w:val="nil" w:sz="0" w:space="0" w:color="FFFFFF"/>
          <w:start w:val="nil" w:sz="0" w:space="0" w:color="FFFFFF"/>
          <w:bottom w:val="nil" w:sz="0" w:space="0" w:color="FFFFFF"/>
          <w:end w:val="nil" w:sz="0" w:space="0" w:color="FFFFFF"/>
          <w:insideH w:val="nil" w:sz="0" w:space="0" w:color="FFFFFF"/>
          <w:insideV w:val="nil" w:sz="0" w:space="0" w:color="FFFFFF"/>
        </w:tblBorders>
      </w:tblPr>
      <w:tblGrid>
        <w:gridCol w:w="144"/>
        <w:gridCol w:w="9144"/>
      </w:tblGrid>
      <w:tr>
        <w:tc>
          <w:tcPr>
            <w:tcW w:type="dxa" w:w="5083"/>
          </w:tcPr>
          <w:p/>
        </w:tc>
        <w:tc>
          <w:tcPr>
            <w:tcW w:type="dxa" w:w="5083"/>
            <w:tcMar>
              <w:top w:w="130" w:type="dxa"/>
              <w:start w:w="150" w:type="dxa"/>
              <w:bottom w:w="130" w:type="dxa"/>
              <w:end w:w="150" w:type="dxa"/>
            </w:tcMar>
          </w:tcPr>
          <w:p>
            <w:r>
              <w:rPr>
                <w:b/>
                <w:color w:val="E30B1F"/>
                <w:sz w:val="20"/>
              </w:rPr>
              <w:t>Décision d'architecture</w:t>
            </w:r>
          </w:p>
          <w:p>
            <w:pPr>
              <w:spacing w:after="0"/>
            </w:pPr>
            <w:r>
              <w:rPr>
                <w:color w:val="1E2430"/>
                <w:sz w:val="18"/>
              </w:rPr>
              <w:t>PostgreSQL est le SGBD relationnel obligatoire et la source de vérité de la plateforme. Aucun autre SGBD relationnel n'est autorisé en production. Valkey, RabbitMQ et le stockage objet sont des composants de support; ils ne remplacent jamais PostgreSQL pour les données métier, financières, de configuration ou d'audit.</w:t>
            </w:r>
          </w:p>
        </w:tc>
      </w:tr>
    </w:tbl>
    <w:p/>
    <w:p>
      <w:r>
        <w:t>L'architecture recommandée est un monolithe modulaire, API-first et orienté événements. Ce choix réduit le coût d'exploitation et le risque du PoC tout en imposant des frontières fortes entre domaines. Chaque module possède ses services, règles, tables ou schémas, tests et contrats. Une extraction ultérieure en services indépendants reste possible sans imposer dès le départ la complexité des microservices.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376"/>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Principe</w:t>
            </w:r>
          </w:p>
        </w:tc>
        <w:tc>
          <w:tcPr>
            <w:tcW w:type="dxa" w:w="7272"/>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Décision obligatoire</w:t>
            </w:r>
          </w:p>
        </w:tc>
      </w:tr>
      <w:tr>
        <w:tc>
          <w:tcPr>
            <w:tcW w:type="dxa" w:w="2376"/>
            <w:tcMar>
              <w:top w:w="90" w:type="dxa"/>
              <w:start w:w="90" w:type="dxa"/>
              <w:bottom w:w="90" w:type="dxa"/>
              <w:end w:w="90" w:type="dxa"/>
            </w:tcMar>
            <w:vAlign w:val="top"/>
          </w:tcPr>
          <w:p>
            <w:pPr>
              <w:spacing w:after="0"/>
            </w:pPr>
            <w:r>
              <w:rPr>
                <w:b w:val="0"/>
                <w:color w:val="1E2430"/>
                <w:sz w:val="16"/>
              </w:rPr>
              <w:t>Monolithe modulaire</w:t>
            </w:r>
          </w:p>
        </w:tc>
        <w:tc>
          <w:tcPr>
            <w:tcW w:type="dxa" w:w="7272"/>
            <w:tcMar>
              <w:top w:w="90" w:type="dxa"/>
              <w:start w:w="90" w:type="dxa"/>
              <w:bottom w:w="90" w:type="dxa"/>
              <w:end w:w="90" w:type="dxa"/>
            </w:tcMar>
            <w:vAlign w:val="top"/>
          </w:tcPr>
          <w:p>
            <w:pPr>
              <w:spacing w:after="0"/>
            </w:pPr>
            <w:r>
              <w:rPr>
                <w:b w:val="0"/>
                <w:color w:val="1E2430"/>
                <w:sz w:val="16"/>
              </w:rPr>
              <w:t>Un déploiement principal et des workers séparables; modules métier isolés par packages, schémas, interfaces et règles de dépendance.</w:t>
            </w:r>
          </w:p>
        </w:tc>
      </w:tr>
      <w:tr>
        <w:tc>
          <w:tcPr>
            <w:tcW w:type="dxa" w:w="2376"/>
            <w:tcMar>
              <w:top w:w="90" w:type="dxa"/>
              <w:start w:w="90" w:type="dxa"/>
              <w:bottom w:w="90" w:type="dxa"/>
              <w:end w:w="90" w:type="dxa"/>
            </w:tcMar>
            <w:vAlign w:val="top"/>
          </w:tcPr>
          <w:p>
            <w:pPr>
              <w:spacing w:after="0"/>
            </w:pPr>
            <w:r>
              <w:rPr>
                <w:b w:val="0"/>
                <w:color w:val="1E2430"/>
                <w:sz w:val="16"/>
              </w:rPr>
              <w:t>Architecture hexagonale</w:t>
            </w:r>
          </w:p>
        </w:tc>
        <w:tc>
          <w:tcPr>
            <w:tcW w:type="dxa" w:w="7272"/>
            <w:tcMar>
              <w:top w:w="90" w:type="dxa"/>
              <w:start w:w="90" w:type="dxa"/>
              <w:bottom w:w="90" w:type="dxa"/>
              <w:end w:w="90" w:type="dxa"/>
            </w:tcMar>
            <w:vAlign w:val="top"/>
          </w:tcPr>
          <w:p>
            <w:pPr>
              <w:spacing w:after="0"/>
            </w:pPr>
            <w:r>
              <w:rPr>
                <w:b w:val="0"/>
                <w:color w:val="1E2430"/>
                <w:sz w:val="16"/>
              </w:rPr>
              <w:t>Le domaine ne dépend ni des interfaces Web/mobile, ni des opérateurs de paiement, ni des outils d'infrastructure.</w:t>
            </w:r>
          </w:p>
        </w:tc>
      </w:tr>
      <w:tr>
        <w:tc>
          <w:tcPr>
            <w:tcW w:type="dxa" w:w="2376"/>
            <w:tcMar>
              <w:top w:w="90" w:type="dxa"/>
              <w:start w:w="90" w:type="dxa"/>
              <w:bottom w:w="90" w:type="dxa"/>
              <w:end w:w="90" w:type="dxa"/>
            </w:tcMar>
            <w:vAlign w:val="top"/>
          </w:tcPr>
          <w:p>
            <w:pPr>
              <w:spacing w:after="0"/>
            </w:pPr>
            <w:r>
              <w:rPr>
                <w:b w:val="0"/>
                <w:color w:val="1E2430"/>
                <w:sz w:val="16"/>
              </w:rPr>
              <w:t>API-first</w:t>
            </w:r>
          </w:p>
        </w:tc>
        <w:tc>
          <w:tcPr>
            <w:tcW w:type="dxa" w:w="7272"/>
            <w:tcMar>
              <w:top w:w="90" w:type="dxa"/>
              <w:start w:w="90" w:type="dxa"/>
              <w:bottom w:w="90" w:type="dxa"/>
              <w:end w:w="90" w:type="dxa"/>
            </w:tcMar>
            <w:vAlign w:val="top"/>
          </w:tcPr>
          <w:p>
            <w:pPr>
              <w:spacing w:after="0"/>
            </w:pPr>
            <w:r>
              <w:rPr>
                <w:b w:val="0"/>
                <w:color w:val="1E2430"/>
                <w:sz w:val="16"/>
              </w:rPr>
              <w:t>Toutes les fonctions exposées sont décrites par OpenAPI; les événements par AsyncAPI; les webhooks sont versionnés et signés.</w:t>
            </w:r>
          </w:p>
        </w:tc>
      </w:tr>
      <w:tr>
        <w:tc>
          <w:tcPr>
            <w:tcW w:type="dxa" w:w="2376"/>
            <w:tcMar>
              <w:top w:w="90" w:type="dxa"/>
              <w:start w:w="90" w:type="dxa"/>
              <w:bottom w:w="90" w:type="dxa"/>
              <w:end w:w="90" w:type="dxa"/>
            </w:tcMar>
            <w:vAlign w:val="top"/>
          </w:tcPr>
          <w:p>
            <w:pPr>
              <w:spacing w:after="0"/>
            </w:pPr>
            <w:r>
              <w:rPr>
                <w:b w:val="0"/>
                <w:color w:val="1E2430"/>
                <w:sz w:val="16"/>
              </w:rPr>
              <w:t>Transactionnel</w:t>
            </w:r>
          </w:p>
        </w:tc>
        <w:tc>
          <w:tcPr>
            <w:tcW w:type="dxa" w:w="7272"/>
            <w:tcMar>
              <w:top w:w="90" w:type="dxa"/>
              <w:start w:w="90" w:type="dxa"/>
              <w:bottom w:w="90" w:type="dxa"/>
              <w:end w:w="90" w:type="dxa"/>
            </w:tcMar>
            <w:vAlign w:val="top"/>
          </w:tcPr>
          <w:p>
            <w:pPr>
              <w:spacing w:after="0"/>
            </w:pPr>
            <w:r>
              <w:rPr>
                <w:b w:val="0"/>
                <w:color w:val="1E2430"/>
                <w:sz w:val="16"/>
              </w:rPr>
              <w:t>Les opérations financières sont ACID dans PostgreSQL; les effets externes sont publiés par le pattern Transactional Outbox.</w:t>
            </w:r>
          </w:p>
        </w:tc>
      </w:tr>
      <w:tr>
        <w:tc>
          <w:tcPr>
            <w:tcW w:type="dxa" w:w="2376"/>
            <w:tcMar>
              <w:top w:w="90" w:type="dxa"/>
              <w:start w:w="90" w:type="dxa"/>
              <w:bottom w:w="90" w:type="dxa"/>
              <w:end w:w="90" w:type="dxa"/>
            </w:tcMar>
            <w:vAlign w:val="top"/>
          </w:tcPr>
          <w:p>
            <w:pPr>
              <w:spacing w:after="0"/>
            </w:pPr>
            <w:r>
              <w:rPr>
                <w:b w:val="0"/>
                <w:color w:val="1E2430"/>
                <w:sz w:val="16"/>
              </w:rPr>
              <w:t>Asynchrone maîtrisé</w:t>
            </w:r>
          </w:p>
        </w:tc>
        <w:tc>
          <w:tcPr>
            <w:tcW w:type="dxa" w:w="7272"/>
            <w:tcMar>
              <w:top w:w="90" w:type="dxa"/>
              <w:start w:w="90" w:type="dxa"/>
              <w:bottom w:w="90" w:type="dxa"/>
              <w:end w:w="90" w:type="dxa"/>
            </w:tcMar>
            <w:vAlign w:val="top"/>
          </w:tcPr>
          <w:p>
            <w:pPr>
              <w:spacing w:after="0"/>
            </w:pPr>
            <w:r>
              <w:rPr>
                <w:b w:val="0"/>
                <w:color w:val="1E2430"/>
                <w:sz w:val="16"/>
              </w:rPr>
              <w:t>Notifications, imports, exports, rapprochements lourds et synchronisations passent par des files avec reprise, délais et file d'erreurs.</w:t>
            </w:r>
          </w:p>
        </w:tc>
      </w:tr>
      <w:tr>
        <w:tc>
          <w:tcPr>
            <w:tcW w:type="dxa" w:w="2376"/>
            <w:tcMar>
              <w:top w:w="90" w:type="dxa"/>
              <w:start w:w="90" w:type="dxa"/>
              <w:bottom w:w="90" w:type="dxa"/>
              <w:end w:w="90" w:type="dxa"/>
            </w:tcMar>
            <w:vAlign w:val="top"/>
          </w:tcPr>
          <w:p>
            <w:pPr>
              <w:spacing w:after="0"/>
            </w:pPr>
            <w:r>
              <w:rPr>
                <w:b w:val="0"/>
                <w:color w:val="1E2430"/>
                <w:sz w:val="16"/>
              </w:rPr>
              <w:t>Offline-first contrôlé</w:t>
            </w:r>
          </w:p>
        </w:tc>
        <w:tc>
          <w:tcPr>
            <w:tcW w:type="dxa" w:w="7272"/>
            <w:tcMar>
              <w:top w:w="90" w:type="dxa"/>
              <w:start w:w="90" w:type="dxa"/>
              <w:bottom w:w="90" w:type="dxa"/>
              <w:end w:w="90" w:type="dxa"/>
            </w:tcMar>
            <w:vAlign w:val="top"/>
          </w:tcPr>
          <w:p>
            <w:pPr>
              <w:spacing w:after="0"/>
            </w:pPr>
            <w:r>
              <w:rPr>
                <w:b w:val="0"/>
                <w:color w:val="1E2430"/>
                <w:sz w:val="16"/>
              </w:rPr>
              <w:t>Les applications peuvent conserver des brouillons chiffrés; aucune opération financière n'est confirmée sans validation du serveur central.</w:t>
            </w:r>
          </w:p>
        </w:tc>
      </w:tr>
      <w:tr>
        <w:tc>
          <w:tcPr>
            <w:tcW w:type="dxa" w:w="2376"/>
            <w:tcMar>
              <w:top w:w="90" w:type="dxa"/>
              <w:start w:w="90" w:type="dxa"/>
              <w:bottom w:w="90" w:type="dxa"/>
              <w:end w:w="90" w:type="dxa"/>
            </w:tcMar>
            <w:vAlign w:val="top"/>
          </w:tcPr>
          <w:p>
            <w:pPr>
              <w:spacing w:after="0"/>
            </w:pPr>
            <w:r>
              <w:rPr>
                <w:b w:val="0"/>
                <w:color w:val="1E2430"/>
                <w:sz w:val="16"/>
              </w:rPr>
              <w:t>Sécurité par défaut</w:t>
            </w:r>
          </w:p>
        </w:tc>
        <w:tc>
          <w:tcPr>
            <w:tcW w:type="dxa" w:w="7272"/>
            <w:tcMar>
              <w:top w:w="90" w:type="dxa"/>
              <w:start w:w="90" w:type="dxa"/>
              <w:bottom w:w="90" w:type="dxa"/>
              <w:end w:w="90" w:type="dxa"/>
            </w:tcMar>
            <w:vAlign w:val="top"/>
          </w:tcPr>
          <w:p>
            <w:pPr>
              <w:spacing w:after="0"/>
            </w:pPr>
            <w:r>
              <w:rPr>
                <w:b w:val="0"/>
                <w:color w:val="1E2430"/>
                <w:sz w:val="16"/>
              </w:rPr>
              <w:t>Authentification centralisée, 2FA, moindre privilège, chiffrement, secrets hors code, audit et séparation des tâches.</w:t>
            </w:r>
          </w:p>
        </w:tc>
      </w:tr>
      <w:tr>
        <w:tc>
          <w:tcPr>
            <w:tcW w:type="dxa" w:w="2376"/>
            <w:tcMar>
              <w:top w:w="90" w:type="dxa"/>
              <w:start w:w="90" w:type="dxa"/>
              <w:bottom w:w="90" w:type="dxa"/>
              <w:end w:w="90" w:type="dxa"/>
            </w:tcMar>
            <w:vAlign w:val="top"/>
          </w:tcPr>
          <w:p>
            <w:pPr>
              <w:spacing w:after="0"/>
            </w:pPr>
            <w:r>
              <w:rPr>
                <w:b w:val="0"/>
                <w:color w:val="1E2430"/>
                <w:sz w:val="16"/>
              </w:rPr>
              <w:t>Portabilité</w:t>
            </w:r>
          </w:p>
        </w:tc>
        <w:tc>
          <w:tcPr>
            <w:tcW w:type="dxa" w:w="7272"/>
            <w:tcMar>
              <w:top w:w="90" w:type="dxa"/>
              <w:start w:w="90" w:type="dxa"/>
              <w:bottom w:w="90" w:type="dxa"/>
              <w:end w:w="90" w:type="dxa"/>
            </w:tcMar>
            <w:vAlign w:val="top"/>
          </w:tcPr>
          <w:p>
            <w:pPr>
              <w:spacing w:after="0"/>
            </w:pPr>
            <w:r>
              <w:rPr>
                <w:b w:val="0"/>
                <w:color w:val="1E2430"/>
                <w:sz w:val="16"/>
              </w:rPr>
              <w:t>Conteneurs OCI, standards ouverts, scripts d'infrastructure et exports complets afin d'éviter un verrouillage fournisseur.</w:t>
            </w:r>
          </w:p>
        </w:tc>
      </w:tr>
    </w:tbl>
    <w:p/>
    <w:p>
      <w:pPr>
        <w:pStyle w:val="Heading2"/>
      </w:pPr>
      <w:r>
        <w:t>18.4 Stack technologique recommandée</w:t>
      </w:r>
    </w:p>
    <w:tbl>
      <w:tblPr>
        <w:tblW w:type="auto" w:w="0"/>
        <w:jc w:val="center"/>
        <w:tblLayout w:type="fixed"/>
        <w:tblLook w:firstColumn="1" w:firstRow="1" w:lastColumn="0" w:lastRow="0" w:noHBand="0" w:noVBand="1" w:val="04A0"/>
        <w:tblBorders>
          <w:top w:val="nil" w:sz="0" w:space="0" w:color="FFFFFF"/>
          <w:start w:val="nil" w:sz="0" w:space="0" w:color="FFFFFF"/>
          <w:bottom w:val="nil" w:sz="0" w:space="0" w:color="FFFFFF"/>
          <w:end w:val="nil" w:sz="0" w:space="0" w:color="FFFFFF"/>
          <w:insideH w:val="nil" w:sz="0" w:space="0" w:color="FFFFFF"/>
          <w:insideV w:val="nil" w:sz="0" w:space="0" w:color="FFFFFF"/>
        </w:tblBorders>
      </w:tblPr>
      <w:tblGrid>
        <w:gridCol w:w="144"/>
        <w:gridCol w:w="9144"/>
      </w:tblGrid>
      <w:tr>
        <w:tc>
          <w:tcPr>
            <w:tcW w:type="dxa" w:w="5083"/>
          </w:tcPr>
          <w:p/>
        </w:tc>
        <w:tc>
          <w:tcPr>
            <w:tcW w:type="dxa" w:w="5083"/>
            <w:tcMar>
              <w:top w:w="130" w:type="dxa"/>
              <w:start w:w="150" w:type="dxa"/>
              <w:bottom w:w="130" w:type="dxa"/>
              <w:end w:w="150" w:type="dxa"/>
            </w:tcMar>
          </w:tcPr>
          <w:p>
            <w:r>
              <w:rPr>
                <w:b/>
                <w:color w:val="273481"/>
                <w:sz w:val="20"/>
              </w:rPr>
              <w:t>Politique de versions</w:t>
            </w:r>
          </w:p>
          <w:p>
            <w:pPr>
              <w:spacing w:after="0"/>
            </w:pPr>
            <w:r>
              <w:rPr>
                <w:color w:val="1E2430"/>
                <w:sz w:val="18"/>
              </w:rPr>
              <w:t>Au démarrage du projet, chaque composant sera gelé sur une version stable encore supportée, maintenue sur son dernier correctif de sécurité et inscrite dans une matrice de versions, licences, dépendances et dates de fin de support. Toute substitution exigera l’accord écrit du CNPM et une analyse d’impact documentée.</w:t>
            </w:r>
          </w:p>
        </w:tc>
      </w:tr>
    </w:tbl>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3389"/>
        <w:gridCol w:w="3389"/>
        <w:gridCol w:w="3389"/>
      </w:tblGrid>
      <w:tr>
        <w:trPr>
          <w:tblHeader w:val="true"/>
        </w:trPr>
        <w:tc>
          <w:tcPr>
            <w:tcW w:type="dxa" w:w="1800"/>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Couche</w:t>
            </w:r>
          </w:p>
        </w:tc>
        <w:tc>
          <w:tcPr>
            <w:tcW w:type="dxa" w:w="3096"/>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Technologie de référence</w:t>
            </w:r>
          </w:p>
        </w:tc>
        <w:tc>
          <w:tcPr>
            <w:tcW w:type="dxa" w:w="4752"/>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Usage et règles</w:t>
            </w:r>
          </w:p>
        </w:tc>
      </w:tr>
      <w:tr>
        <w:tc>
          <w:tcPr>
            <w:tcW w:type="dxa" w:w="1800"/>
            <w:tcMar>
              <w:top w:w="90" w:type="dxa"/>
              <w:start w:w="90" w:type="dxa"/>
              <w:bottom w:w="90" w:type="dxa"/>
              <w:end w:w="90" w:type="dxa"/>
            </w:tcMar>
            <w:vAlign w:val="top"/>
          </w:tcPr>
          <w:p>
            <w:pPr>
              <w:spacing w:after="0"/>
            </w:pPr>
            <w:r>
              <w:rPr>
                <w:b w:val="0"/>
                <w:color w:val="1E2430"/>
                <w:sz w:val="15"/>
              </w:rPr>
              <w:t>Backend / API</w:t>
            </w:r>
          </w:p>
        </w:tc>
        <w:tc>
          <w:tcPr>
            <w:tcW w:type="dxa" w:w="3096"/>
            <w:tcMar>
              <w:top w:w="90" w:type="dxa"/>
              <w:start w:w="90" w:type="dxa"/>
              <w:bottom w:w="90" w:type="dxa"/>
              <w:end w:w="90" w:type="dxa"/>
            </w:tcMar>
            <w:vAlign w:val="top"/>
          </w:tcPr>
          <w:p>
            <w:pPr>
              <w:spacing w:after="0"/>
            </w:pPr>
            <w:r>
              <w:rPr>
                <w:b w:val="0"/>
                <w:color w:val="1E2430"/>
                <w:sz w:val="15"/>
              </w:rPr>
              <w:t>Java LTS supportée, Spring Boot stable supporté, Maven</w:t>
            </w:r>
          </w:p>
        </w:tc>
        <w:tc>
          <w:tcPr>
            <w:tcW w:type="dxa" w:w="4752"/>
            <w:tcMar>
              <w:top w:w="90" w:type="dxa"/>
              <w:start w:w="90" w:type="dxa"/>
              <w:bottom w:w="90" w:type="dxa"/>
              <w:end w:w="90" w:type="dxa"/>
            </w:tcMar>
            <w:vAlign w:val="top"/>
          </w:tcPr>
          <w:p>
            <w:pPr>
              <w:spacing w:after="0"/>
            </w:pPr>
            <w:r>
              <w:rPr>
                <w:b w:val="0"/>
                <w:color w:val="1E2430"/>
                <w:sz w:val="15"/>
              </w:rPr>
              <w:t>Règles métier, API REST, batchs, workers, sécurité, transactions et intégrations. Code structuré par domaines.</w:t>
            </w:r>
          </w:p>
        </w:tc>
      </w:tr>
      <w:tr>
        <w:tc>
          <w:tcPr>
            <w:tcW w:type="dxa" w:w="1800"/>
            <w:tcMar>
              <w:top w:w="90" w:type="dxa"/>
              <w:start w:w="90" w:type="dxa"/>
              <w:bottom w:w="90" w:type="dxa"/>
              <w:end w:w="90" w:type="dxa"/>
            </w:tcMar>
            <w:vAlign w:val="top"/>
          </w:tcPr>
          <w:p>
            <w:pPr>
              <w:spacing w:after="0"/>
            </w:pPr>
            <w:r>
              <w:rPr>
                <w:b w:val="0"/>
                <w:color w:val="1E2430"/>
                <w:sz w:val="15"/>
              </w:rPr>
              <w:t>Web</w:t>
            </w:r>
          </w:p>
        </w:tc>
        <w:tc>
          <w:tcPr>
            <w:tcW w:type="dxa" w:w="3096"/>
            <w:tcMar>
              <w:top w:w="90" w:type="dxa"/>
              <w:start w:w="90" w:type="dxa"/>
              <w:bottom w:w="90" w:type="dxa"/>
              <w:end w:w="90" w:type="dxa"/>
            </w:tcMar>
            <w:vAlign w:val="top"/>
          </w:tcPr>
          <w:p>
            <w:pPr>
              <w:spacing w:after="0"/>
            </w:pPr>
            <w:r>
              <w:rPr>
                <w:b w:val="0"/>
                <w:color w:val="1E2430"/>
                <w:sz w:val="15"/>
              </w:rPr>
              <w:t>Angular stable supporté, TypeScript, Angular Material/CDK</w:t>
            </w:r>
          </w:p>
        </w:tc>
        <w:tc>
          <w:tcPr>
            <w:tcW w:type="dxa" w:w="4752"/>
            <w:tcMar>
              <w:top w:w="90" w:type="dxa"/>
              <w:start w:w="90" w:type="dxa"/>
              <w:bottom w:w="90" w:type="dxa"/>
              <w:end w:w="90" w:type="dxa"/>
            </w:tcMar>
            <w:vAlign w:val="top"/>
          </w:tcPr>
          <w:p>
            <w:pPr>
              <w:spacing w:after="0"/>
            </w:pPr>
            <w:r>
              <w:rPr>
                <w:b w:val="0"/>
                <w:color w:val="1E2430"/>
                <w:sz w:val="15"/>
              </w:rPr>
              <w:t>Portail public, extranet membre, back-office et PWA. Design system CNPM spécifique, sans thème générique visible.</w:t>
            </w:r>
          </w:p>
        </w:tc>
      </w:tr>
      <w:tr>
        <w:tc>
          <w:tcPr>
            <w:tcW w:type="dxa" w:w="1800"/>
            <w:tcMar>
              <w:top w:w="90" w:type="dxa"/>
              <w:start w:w="90" w:type="dxa"/>
              <w:bottom w:w="90" w:type="dxa"/>
              <w:end w:w="90" w:type="dxa"/>
            </w:tcMar>
            <w:vAlign w:val="top"/>
          </w:tcPr>
          <w:p>
            <w:pPr>
              <w:spacing w:after="0"/>
            </w:pPr>
            <w:r>
              <w:rPr>
                <w:b w:val="0"/>
                <w:color w:val="1E2430"/>
                <w:sz w:val="15"/>
              </w:rPr>
              <w:t>Mobile</w:t>
            </w:r>
          </w:p>
        </w:tc>
        <w:tc>
          <w:tcPr>
            <w:tcW w:type="dxa" w:w="3096"/>
            <w:tcMar>
              <w:top w:w="90" w:type="dxa"/>
              <w:start w:w="90" w:type="dxa"/>
              <w:bottom w:w="90" w:type="dxa"/>
              <w:end w:w="90" w:type="dxa"/>
            </w:tcMar>
            <w:vAlign w:val="top"/>
          </w:tcPr>
          <w:p>
            <w:pPr>
              <w:spacing w:after="0"/>
            </w:pPr>
            <w:r>
              <w:rPr>
                <w:b w:val="0"/>
                <w:color w:val="1E2430"/>
                <w:sz w:val="15"/>
              </w:rPr>
              <w:t>Flutter stable supporté, Dart</w:t>
            </w:r>
          </w:p>
        </w:tc>
        <w:tc>
          <w:tcPr>
            <w:tcW w:type="dxa" w:w="4752"/>
            <w:tcMar>
              <w:top w:w="90" w:type="dxa"/>
              <w:start w:w="90" w:type="dxa"/>
              <w:bottom w:w="90" w:type="dxa"/>
              <w:end w:w="90" w:type="dxa"/>
            </w:tcMar>
            <w:vAlign w:val="top"/>
          </w:tcPr>
          <w:p>
            <w:pPr>
              <w:spacing w:after="0"/>
            </w:pPr>
            <w:r>
              <w:rPr>
                <w:b w:val="0"/>
                <w:color w:val="1E2430"/>
                <w:sz w:val="15"/>
              </w:rPr>
              <w:t>Applications Android/iOS pour membres et agents. Stockage local chiffré, synchronisation idempotente et notifications push.</w:t>
            </w:r>
          </w:p>
        </w:tc>
      </w:tr>
      <w:tr>
        <w:tc>
          <w:tcPr>
            <w:tcW w:type="dxa" w:w="1800"/>
            <w:tcMar>
              <w:top w:w="90" w:type="dxa"/>
              <w:start w:w="90" w:type="dxa"/>
              <w:bottom w:w="90" w:type="dxa"/>
              <w:end w:w="90" w:type="dxa"/>
            </w:tcMar>
            <w:vAlign w:val="top"/>
          </w:tcPr>
          <w:p>
            <w:pPr>
              <w:spacing w:after="0"/>
            </w:pPr>
            <w:r>
              <w:rPr>
                <w:b w:val="0"/>
                <w:color w:val="1E2430"/>
                <w:sz w:val="15"/>
              </w:rPr>
              <w:t>Identité</w:t>
            </w:r>
          </w:p>
        </w:tc>
        <w:tc>
          <w:tcPr>
            <w:tcW w:type="dxa" w:w="3096"/>
            <w:tcMar>
              <w:top w:w="90" w:type="dxa"/>
              <w:start w:w="90" w:type="dxa"/>
              <w:bottom w:w="90" w:type="dxa"/>
              <w:end w:w="90" w:type="dxa"/>
            </w:tcMar>
            <w:vAlign w:val="top"/>
          </w:tcPr>
          <w:p>
            <w:pPr>
              <w:spacing w:after="0"/>
            </w:pPr>
            <w:r>
              <w:rPr>
                <w:b w:val="0"/>
                <w:color w:val="1E2430"/>
                <w:sz w:val="15"/>
              </w:rPr>
              <w:t>Keycloak stable supporté</w:t>
            </w:r>
          </w:p>
        </w:tc>
        <w:tc>
          <w:tcPr>
            <w:tcW w:type="dxa" w:w="4752"/>
            <w:tcMar>
              <w:top w:w="90" w:type="dxa"/>
              <w:start w:w="90" w:type="dxa"/>
              <w:bottom w:w="90" w:type="dxa"/>
              <w:end w:w="90" w:type="dxa"/>
            </w:tcMar>
            <w:vAlign w:val="top"/>
          </w:tcPr>
          <w:p>
            <w:pPr>
              <w:spacing w:after="0"/>
            </w:pPr>
            <w:r>
              <w:rPr>
                <w:b w:val="0"/>
                <w:color w:val="1E2430"/>
                <w:sz w:val="15"/>
              </w:rPr>
              <w:t>OIDC/OAuth 2.0/SAML, SSO, rôles, groupes, 2FA TOTP, WebAuthn/passkeys, récupération et révocation de sessions.</w:t>
            </w:r>
          </w:p>
        </w:tc>
      </w:tr>
      <w:tr>
        <w:tc>
          <w:tcPr>
            <w:tcW w:type="dxa" w:w="1800"/>
            <w:tcMar>
              <w:top w:w="90" w:type="dxa"/>
              <w:start w:w="90" w:type="dxa"/>
              <w:bottom w:w="90" w:type="dxa"/>
              <w:end w:w="90" w:type="dxa"/>
            </w:tcMar>
            <w:vAlign w:val="top"/>
          </w:tcPr>
          <w:p>
            <w:pPr>
              <w:spacing w:after="0"/>
            </w:pPr>
            <w:r>
              <w:rPr>
                <w:b w:val="0"/>
                <w:color w:val="1E2430"/>
                <w:sz w:val="15"/>
              </w:rPr>
              <w:t>Workflow</w:t>
            </w:r>
          </w:p>
        </w:tc>
        <w:tc>
          <w:tcPr>
            <w:tcW w:type="dxa" w:w="3096"/>
            <w:tcMar>
              <w:top w:w="90" w:type="dxa"/>
              <w:start w:w="90" w:type="dxa"/>
              <w:bottom w:w="90" w:type="dxa"/>
              <w:end w:w="90" w:type="dxa"/>
            </w:tcMar>
            <w:vAlign w:val="top"/>
          </w:tcPr>
          <w:p>
            <w:pPr>
              <w:spacing w:after="0"/>
            </w:pPr>
            <w:r>
              <w:rPr>
                <w:b w:val="0"/>
                <w:color w:val="1E2430"/>
                <w:sz w:val="15"/>
              </w:rPr>
              <w:t>Flowable stable supporté, BPMN 2.0 / DMN</w:t>
            </w:r>
          </w:p>
        </w:tc>
        <w:tc>
          <w:tcPr>
            <w:tcW w:type="dxa" w:w="4752"/>
            <w:tcMar>
              <w:top w:w="90" w:type="dxa"/>
              <w:start w:w="90" w:type="dxa"/>
              <w:bottom w:w="90" w:type="dxa"/>
              <w:end w:w="90" w:type="dxa"/>
            </w:tcMar>
            <w:vAlign w:val="top"/>
          </w:tcPr>
          <w:p>
            <w:pPr>
              <w:spacing w:after="0"/>
            </w:pPr>
            <w:r>
              <w:rPr>
                <w:b w:val="0"/>
                <w:color w:val="1E2430"/>
                <w:sz w:val="15"/>
              </w:rPr>
              <w:t>Adhésions, validations, requêtes, dérogations et processus longs. Modèles versionnés et historisés.</w:t>
            </w:r>
          </w:p>
        </w:tc>
      </w:tr>
      <w:tr>
        <w:tc>
          <w:tcPr>
            <w:tcW w:type="dxa" w:w="1800"/>
            <w:tcMar>
              <w:top w:w="90" w:type="dxa"/>
              <w:start w:w="90" w:type="dxa"/>
              <w:bottom w:w="90" w:type="dxa"/>
              <w:end w:w="90" w:type="dxa"/>
            </w:tcMar>
            <w:vAlign w:val="top"/>
          </w:tcPr>
          <w:p>
            <w:pPr>
              <w:spacing w:after="0"/>
            </w:pPr>
            <w:r>
              <w:rPr>
                <w:b w:val="0"/>
                <w:color w:val="1E2430"/>
                <w:sz w:val="15"/>
              </w:rPr>
              <w:t>Contrats API</w:t>
            </w:r>
          </w:p>
        </w:tc>
        <w:tc>
          <w:tcPr>
            <w:tcW w:type="dxa" w:w="3096"/>
            <w:tcMar>
              <w:top w:w="90" w:type="dxa"/>
              <w:start w:w="90" w:type="dxa"/>
              <w:bottom w:w="90" w:type="dxa"/>
              <w:end w:w="90" w:type="dxa"/>
            </w:tcMar>
            <w:vAlign w:val="top"/>
          </w:tcPr>
          <w:p>
            <w:pPr>
              <w:spacing w:after="0"/>
            </w:pPr>
            <w:r>
              <w:rPr>
                <w:b w:val="0"/>
                <w:color w:val="1E2430"/>
                <w:sz w:val="15"/>
              </w:rPr>
              <w:t>OpenAPI 3.1, AsyncAPI, JSON Schema</w:t>
            </w:r>
          </w:p>
        </w:tc>
        <w:tc>
          <w:tcPr>
            <w:tcW w:type="dxa" w:w="4752"/>
            <w:tcMar>
              <w:top w:w="90" w:type="dxa"/>
              <w:start w:w="90" w:type="dxa"/>
              <w:bottom w:w="90" w:type="dxa"/>
              <w:end w:w="90" w:type="dxa"/>
            </w:tcMar>
            <w:vAlign w:val="top"/>
          </w:tcPr>
          <w:p>
            <w:pPr>
              <w:spacing w:after="0"/>
            </w:pPr>
            <w:r>
              <w:rPr>
                <w:b w:val="0"/>
                <w:color w:val="1E2430"/>
                <w:sz w:val="15"/>
              </w:rPr>
              <w:t>Documentation exécutable, génération de clients, tests de contrats et versionnement explicite.</w:t>
            </w:r>
          </w:p>
        </w:tc>
      </w:tr>
      <w:tr>
        <w:tc>
          <w:tcPr>
            <w:tcW w:type="dxa" w:w="1800"/>
            <w:tcMar>
              <w:top w:w="90" w:type="dxa"/>
              <w:start w:w="90" w:type="dxa"/>
              <w:bottom w:w="90" w:type="dxa"/>
              <w:end w:w="90" w:type="dxa"/>
            </w:tcMar>
            <w:vAlign w:val="top"/>
          </w:tcPr>
          <w:p>
            <w:pPr>
              <w:spacing w:after="0"/>
            </w:pPr>
            <w:r>
              <w:rPr>
                <w:b w:val="0"/>
                <w:color w:val="1E2430"/>
                <w:sz w:val="15"/>
              </w:rPr>
              <w:t>Documents officiels</w:t>
            </w:r>
          </w:p>
        </w:tc>
        <w:tc>
          <w:tcPr>
            <w:tcW w:type="dxa" w:w="3096"/>
            <w:tcMar>
              <w:top w:w="90" w:type="dxa"/>
              <w:start w:w="90" w:type="dxa"/>
              <w:bottom w:w="90" w:type="dxa"/>
              <w:end w:w="90" w:type="dxa"/>
            </w:tcMar>
            <w:vAlign w:val="top"/>
          </w:tcPr>
          <w:p>
            <w:pPr>
              <w:spacing w:after="0"/>
            </w:pPr>
            <w:r>
              <w:rPr>
                <w:b w:val="0"/>
                <w:color w:val="1E2430"/>
                <w:sz w:val="15"/>
              </w:rPr>
              <w:t>JasperReports, Apache POI, signature PDF</w:t>
            </w:r>
          </w:p>
        </w:tc>
        <w:tc>
          <w:tcPr>
            <w:tcW w:type="dxa" w:w="4752"/>
            <w:tcMar>
              <w:top w:w="90" w:type="dxa"/>
              <w:start w:w="90" w:type="dxa"/>
              <w:bottom w:w="90" w:type="dxa"/>
              <w:end w:w="90" w:type="dxa"/>
            </w:tcMar>
            <w:vAlign w:val="top"/>
          </w:tcPr>
          <w:p>
            <w:pPr>
              <w:spacing w:after="0"/>
            </w:pPr>
            <w:r>
              <w:rPr>
                <w:b w:val="0"/>
                <w:color w:val="1E2430"/>
                <w:sz w:val="15"/>
              </w:rPr>
              <w:t>Reçus, attestations, états PDF/Excel; modèles validés, numérotés, signés et archivés.</w:t>
            </w:r>
          </w:p>
        </w:tc>
      </w:tr>
      <w:tr>
        <w:tc>
          <w:tcPr>
            <w:tcW w:type="dxa" w:w="1800"/>
            <w:tcMar>
              <w:top w:w="90" w:type="dxa"/>
              <w:start w:w="90" w:type="dxa"/>
              <w:bottom w:w="90" w:type="dxa"/>
              <w:end w:w="90" w:type="dxa"/>
            </w:tcMar>
            <w:vAlign w:val="top"/>
          </w:tcPr>
          <w:p>
            <w:pPr>
              <w:spacing w:after="0"/>
            </w:pPr>
            <w:r>
              <w:rPr>
                <w:b w:val="0"/>
                <w:color w:val="1E2430"/>
                <w:sz w:val="15"/>
              </w:rPr>
              <w:t>Visualisation embarquée</w:t>
            </w:r>
          </w:p>
        </w:tc>
        <w:tc>
          <w:tcPr>
            <w:tcW w:type="dxa" w:w="3096"/>
            <w:tcMar>
              <w:top w:w="90" w:type="dxa"/>
              <w:start w:w="90" w:type="dxa"/>
              <w:bottom w:w="90" w:type="dxa"/>
              <w:end w:w="90" w:type="dxa"/>
            </w:tcMar>
            <w:vAlign w:val="top"/>
          </w:tcPr>
          <w:p>
            <w:pPr>
              <w:spacing w:after="0"/>
            </w:pPr>
            <w:r>
              <w:rPr>
                <w:b w:val="0"/>
                <w:color w:val="1E2430"/>
                <w:sz w:val="15"/>
              </w:rPr>
              <w:t>Apache ECharts</w:t>
            </w:r>
          </w:p>
        </w:tc>
        <w:tc>
          <w:tcPr>
            <w:tcW w:type="dxa" w:w="4752"/>
            <w:tcMar>
              <w:top w:w="90" w:type="dxa"/>
              <w:start w:w="90" w:type="dxa"/>
              <w:bottom w:w="90" w:type="dxa"/>
              <w:end w:w="90" w:type="dxa"/>
            </w:tcMar>
            <w:vAlign w:val="top"/>
          </w:tcPr>
          <w:p>
            <w:pPr>
              <w:spacing w:after="0"/>
            </w:pPr>
            <w:r>
              <w:rPr>
                <w:b w:val="0"/>
                <w:color w:val="1E2430"/>
                <w:sz w:val="15"/>
              </w:rPr>
              <w:t>Graphiques opérationnels rapides et interactifs dans les écrans Angular, avec export image/PDF.</w:t>
            </w:r>
          </w:p>
        </w:tc>
      </w:tr>
      <w:tr>
        <w:tc>
          <w:tcPr>
            <w:tcW w:type="dxa" w:w="1800"/>
            <w:tcMar>
              <w:top w:w="90" w:type="dxa"/>
              <w:start w:w="90" w:type="dxa"/>
              <w:bottom w:w="90" w:type="dxa"/>
              <w:end w:w="90" w:type="dxa"/>
            </w:tcMar>
            <w:vAlign w:val="top"/>
          </w:tcPr>
          <w:p>
            <w:pPr>
              <w:spacing w:after="0"/>
            </w:pPr>
            <w:r>
              <w:rPr>
                <w:b w:val="0"/>
                <w:color w:val="1E2430"/>
                <w:sz w:val="15"/>
              </w:rPr>
              <w:t>Tests applicatifs</w:t>
            </w:r>
          </w:p>
        </w:tc>
        <w:tc>
          <w:tcPr>
            <w:tcW w:type="dxa" w:w="3096"/>
            <w:tcMar>
              <w:top w:w="90" w:type="dxa"/>
              <w:start w:w="90" w:type="dxa"/>
              <w:bottom w:w="90" w:type="dxa"/>
              <w:end w:w="90" w:type="dxa"/>
            </w:tcMar>
            <w:vAlign w:val="top"/>
          </w:tcPr>
          <w:p>
            <w:pPr>
              <w:spacing w:after="0"/>
            </w:pPr>
            <w:r>
              <w:rPr>
                <w:b w:val="0"/>
                <w:color w:val="1E2430"/>
                <w:sz w:val="15"/>
              </w:rPr>
              <w:t>JUnit 5, Testcontainers, REST Assured, Playwright, tests Flutter, k6</w:t>
            </w:r>
          </w:p>
        </w:tc>
        <w:tc>
          <w:tcPr>
            <w:tcW w:type="dxa" w:w="4752"/>
            <w:tcMar>
              <w:top w:w="90" w:type="dxa"/>
              <w:start w:w="90" w:type="dxa"/>
              <w:bottom w:w="90" w:type="dxa"/>
              <w:end w:w="90" w:type="dxa"/>
            </w:tcMar>
            <w:vAlign w:val="top"/>
          </w:tcPr>
          <w:p>
            <w:pPr>
              <w:spacing w:after="0"/>
            </w:pPr>
            <w:r>
              <w:rPr>
                <w:b w:val="0"/>
                <w:color w:val="1E2430"/>
                <w:sz w:val="15"/>
              </w:rPr>
              <w:t>Tests unitaires, intégration réelle PostgreSQL, API, bout-en-bout, mobile et performance dans la CI.</w:t>
            </w:r>
          </w:p>
        </w:tc>
      </w:tr>
    </w:tbl>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3389"/>
        <w:gridCol w:w="3389"/>
        <w:gridCol w:w="3389"/>
      </w:tblGrid>
      <w:tr>
        <w:trPr>
          <w:tblHeader w:val="true"/>
        </w:trPr>
        <w:tc>
          <w:tcPr>
            <w:tcW w:type="dxa" w:w="1944"/>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Composant plateforme</w:t>
            </w:r>
          </w:p>
        </w:tc>
        <w:tc>
          <w:tcPr>
            <w:tcW w:type="dxa" w:w="3240"/>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Technologie de référence</w:t>
            </w:r>
          </w:p>
        </w:tc>
        <w:tc>
          <w:tcPr>
            <w:tcW w:type="dxa" w:w="4464"/>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Usage et contraintes</w:t>
            </w:r>
          </w:p>
        </w:tc>
      </w:tr>
      <w:tr>
        <w:tc>
          <w:tcPr>
            <w:tcW w:type="dxa" w:w="1944"/>
            <w:tcMar>
              <w:top w:w="90" w:type="dxa"/>
              <w:start w:w="90" w:type="dxa"/>
              <w:bottom w:w="90" w:type="dxa"/>
              <w:end w:w="90" w:type="dxa"/>
            </w:tcMar>
            <w:vAlign w:val="top"/>
          </w:tcPr>
          <w:p>
            <w:pPr>
              <w:spacing w:after="0"/>
            </w:pPr>
            <w:r>
              <w:rPr>
                <w:b w:val="0"/>
                <w:color w:val="1E2430"/>
                <w:sz w:val="15"/>
              </w:rPr>
              <w:t>Base de données</w:t>
            </w:r>
          </w:p>
        </w:tc>
        <w:tc>
          <w:tcPr>
            <w:tcW w:type="dxa" w:w="3240"/>
            <w:tcMar>
              <w:top w:w="90" w:type="dxa"/>
              <w:start w:w="90" w:type="dxa"/>
              <w:bottom w:w="90" w:type="dxa"/>
              <w:end w:w="90" w:type="dxa"/>
            </w:tcMar>
            <w:vAlign w:val="top"/>
          </w:tcPr>
          <w:p>
            <w:pPr>
              <w:spacing w:after="0"/>
            </w:pPr>
            <w:r>
              <w:rPr>
                <w:b w:val="0"/>
                <w:color w:val="1E2430"/>
                <w:sz w:val="15"/>
              </w:rPr>
              <w:t>PostgreSQL, Flyway, PgBouncer</w:t>
            </w:r>
          </w:p>
        </w:tc>
        <w:tc>
          <w:tcPr>
            <w:tcW w:type="dxa" w:w="4464"/>
            <w:tcMar>
              <w:top w:w="90" w:type="dxa"/>
              <w:start w:w="90" w:type="dxa"/>
              <w:bottom w:w="90" w:type="dxa"/>
              <w:end w:w="90" w:type="dxa"/>
            </w:tcMar>
            <w:vAlign w:val="top"/>
          </w:tcPr>
          <w:p>
            <w:pPr>
              <w:spacing w:after="0"/>
            </w:pPr>
            <w:r>
              <w:rPr>
                <w:b w:val="0"/>
                <w:color w:val="1E2430"/>
                <w:sz w:val="15"/>
              </w:rPr>
              <w:t>Source de vérité, migrations versionnées, pooling et réplication. Dernier correctif mineur obligatoire.</w:t>
            </w:r>
          </w:p>
        </w:tc>
      </w:tr>
      <w:tr>
        <w:tc>
          <w:tcPr>
            <w:tcW w:type="dxa" w:w="1944"/>
            <w:tcMar>
              <w:top w:w="90" w:type="dxa"/>
              <w:start w:w="90" w:type="dxa"/>
              <w:bottom w:w="90" w:type="dxa"/>
              <w:end w:w="90" w:type="dxa"/>
            </w:tcMar>
            <w:vAlign w:val="top"/>
          </w:tcPr>
          <w:p>
            <w:pPr>
              <w:spacing w:after="0"/>
            </w:pPr>
            <w:r>
              <w:rPr>
                <w:b w:val="0"/>
                <w:color w:val="1E2430"/>
                <w:sz w:val="15"/>
              </w:rPr>
              <w:t>Messagerie</w:t>
            </w:r>
          </w:p>
        </w:tc>
        <w:tc>
          <w:tcPr>
            <w:tcW w:type="dxa" w:w="3240"/>
            <w:tcMar>
              <w:top w:w="90" w:type="dxa"/>
              <w:start w:w="90" w:type="dxa"/>
              <w:bottom w:w="90" w:type="dxa"/>
              <w:end w:w="90" w:type="dxa"/>
            </w:tcMar>
            <w:vAlign w:val="top"/>
          </w:tcPr>
          <w:p>
            <w:pPr>
              <w:spacing w:after="0"/>
            </w:pPr>
            <w:r>
              <w:rPr>
                <w:b w:val="0"/>
                <w:color w:val="1E2430"/>
                <w:sz w:val="15"/>
              </w:rPr>
              <w:t>RabbitMQ stable supporté</w:t>
            </w:r>
          </w:p>
        </w:tc>
        <w:tc>
          <w:tcPr>
            <w:tcW w:type="dxa" w:w="4464"/>
            <w:tcMar>
              <w:top w:w="90" w:type="dxa"/>
              <w:start w:w="90" w:type="dxa"/>
              <w:bottom w:w="90" w:type="dxa"/>
              <w:end w:w="90" w:type="dxa"/>
            </w:tcMar>
            <w:vAlign w:val="top"/>
          </w:tcPr>
          <w:p>
            <w:pPr>
              <w:spacing w:after="0"/>
            </w:pPr>
            <w:r>
              <w:rPr>
                <w:b w:val="0"/>
                <w:color w:val="1E2430"/>
                <w:sz w:val="15"/>
              </w:rPr>
              <w:t>Événements, notifications et tâches. Quorum queues, accusés, publisher confirms, retry et dead-letter queues.</w:t>
            </w:r>
          </w:p>
        </w:tc>
      </w:tr>
      <w:tr>
        <w:tc>
          <w:tcPr>
            <w:tcW w:type="dxa" w:w="1944"/>
            <w:tcMar>
              <w:top w:w="90" w:type="dxa"/>
              <w:start w:w="90" w:type="dxa"/>
              <w:bottom w:w="90" w:type="dxa"/>
              <w:end w:w="90" w:type="dxa"/>
            </w:tcMar>
            <w:vAlign w:val="top"/>
          </w:tcPr>
          <w:p>
            <w:pPr>
              <w:spacing w:after="0"/>
            </w:pPr>
            <w:r>
              <w:rPr>
                <w:b w:val="0"/>
                <w:color w:val="1E2430"/>
                <w:sz w:val="15"/>
              </w:rPr>
              <w:t>Cache technique</w:t>
            </w:r>
          </w:p>
        </w:tc>
        <w:tc>
          <w:tcPr>
            <w:tcW w:type="dxa" w:w="3240"/>
            <w:tcMar>
              <w:top w:w="90" w:type="dxa"/>
              <w:start w:w="90" w:type="dxa"/>
              <w:bottom w:w="90" w:type="dxa"/>
              <w:end w:w="90" w:type="dxa"/>
            </w:tcMar>
            <w:vAlign w:val="top"/>
          </w:tcPr>
          <w:p>
            <w:pPr>
              <w:spacing w:after="0"/>
            </w:pPr>
            <w:r>
              <w:rPr>
                <w:b w:val="0"/>
                <w:color w:val="1E2430"/>
                <w:sz w:val="15"/>
              </w:rPr>
              <w:t>Valkey stable supporté</w:t>
            </w:r>
          </w:p>
        </w:tc>
        <w:tc>
          <w:tcPr>
            <w:tcW w:type="dxa" w:w="4464"/>
            <w:tcMar>
              <w:top w:w="90" w:type="dxa"/>
              <w:start w:w="90" w:type="dxa"/>
              <w:bottom w:w="90" w:type="dxa"/>
              <w:end w:w="90" w:type="dxa"/>
            </w:tcMar>
            <w:vAlign w:val="top"/>
          </w:tcPr>
          <w:p>
            <w:pPr>
              <w:spacing w:after="0"/>
            </w:pPr>
            <w:r>
              <w:rPr>
                <w:b w:val="0"/>
                <w:color w:val="1E2430"/>
                <w:sz w:val="15"/>
              </w:rPr>
              <w:t>Cache, limitation de débit, anti-bruteforce et verrous courts. Aucune donnée métier unique ou durable.</w:t>
            </w:r>
          </w:p>
        </w:tc>
      </w:tr>
      <w:tr>
        <w:tc>
          <w:tcPr>
            <w:tcW w:type="dxa" w:w="1944"/>
            <w:tcMar>
              <w:top w:w="90" w:type="dxa"/>
              <w:start w:w="90" w:type="dxa"/>
              <w:bottom w:w="90" w:type="dxa"/>
              <w:end w:w="90" w:type="dxa"/>
            </w:tcMar>
            <w:vAlign w:val="top"/>
          </w:tcPr>
          <w:p>
            <w:pPr>
              <w:spacing w:after="0"/>
            </w:pPr>
            <w:r>
              <w:rPr>
                <w:b w:val="0"/>
                <w:color w:val="1E2430"/>
                <w:sz w:val="15"/>
              </w:rPr>
              <w:t>Fichiers / GED</w:t>
            </w:r>
          </w:p>
        </w:tc>
        <w:tc>
          <w:tcPr>
            <w:tcW w:type="dxa" w:w="3240"/>
            <w:tcMar>
              <w:top w:w="90" w:type="dxa"/>
              <w:start w:w="90" w:type="dxa"/>
              <w:bottom w:w="90" w:type="dxa"/>
              <w:end w:w="90" w:type="dxa"/>
            </w:tcMar>
            <w:vAlign w:val="top"/>
          </w:tcPr>
          <w:p>
            <w:pPr>
              <w:spacing w:after="0"/>
            </w:pPr>
            <w:r>
              <w:rPr>
                <w:b w:val="0"/>
                <w:color w:val="1E2430"/>
                <w:sz w:val="15"/>
              </w:rPr>
              <w:t>Stockage objet compatible S3</w:t>
            </w:r>
          </w:p>
        </w:tc>
        <w:tc>
          <w:tcPr>
            <w:tcW w:type="dxa" w:w="4464"/>
            <w:tcMar>
              <w:top w:w="90" w:type="dxa"/>
              <w:start w:w="90" w:type="dxa"/>
              <w:bottom w:w="90" w:type="dxa"/>
              <w:end w:w="90" w:type="dxa"/>
            </w:tcMar>
            <w:vAlign w:val="top"/>
          </w:tcPr>
          <w:p>
            <w:pPr>
              <w:spacing w:after="0"/>
            </w:pPr>
            <w:r>
              <w:rPr>
                <w:b w:val="0"/>
                <w:color w:val="1E2430"/>
                <w:sz w:val="15"/>
              </w:rPr>
              <w:t>Pièces et reçus chiffrés, versionnés et contrôlés par antivirus; métadonnées et empreintes conservées dans PostgreSQL.</w:t>
            </w:r>
          </w:p>
        </w:tc>
      </w:tr>
      <w:tr>
        <w:tc>
          <w:tcPr>
            <w:tcW w:type="dxa" w:w="1944"/>
            <w:tcMar>
              <w:top w:w="90" w:type="dxa"/>
              <w:start w:w="90" w:type="dxa"/>
              <w:bottom w:w="90" w:type="dxa"/>
              <w:end w:w="90" w:type="dxa"/>
            </w:tcMar>
            <w:vAlign w:val="top"/>
          </w:tcPr>
          <w:p>
            <w:pPr>
              <w:spacing w:after="0"/>
            </w:pPr>
            <w:r>
              <w:rPr>
                <w:b w:val="0"/>
                <w:color w:val="1E2430"/>
                <w:sz w:val="15"/>
              </w:rPr>
              <w:t>Décisionnel</w:t>
            </w:r>
          </w:p>
        </w:tc>
        <w:tc>
          <w:tcPr>
            <w:tcW w:type="dxa" w:w="3240"/>
            <w:tcMar>
              <w:top w:w="90" w:type="dxa"/>
              <w:start w:w="90" w:type="dxa"/>
              <w:bottom w:w="90" w:type="dxa"/>
              <w:end w:w="90" w:type="dxa"/>
            </w:tcMar>
            <w:vAlign w:val="top"/>
          </w:tcPr>
          <w:p>
            <w:pPr>
              <w:spacing w:after="0"/>
            </w:pPr>
            <w:r>
              <w:rPr>
                <w:b w:val="0"/>
                <w:color w:val="1E2430"/>
                <w:sz w:val="15"/>
              </w:rPr>
              <w:t>PostgreSQL reporting/data mart, Apache Superset stable supporté</w:t>
            </w:r>
          </w:p>
        </w:tc>
        <w:tc>
          <w:tcPr>
            <w:tcW w:type="dxa" w:w="4464"/>
            <w:tcMar>
              <w:top w:w="90" w:type="dxa"/>
              <w:start w:w="90" w:type="dxa"/>
              <w:bottom w:w="90" w:type="dxa"/>
              <w:end w:w="90" w:type="dxa"/>
            </w:tcMar>
            <w:vAlign w:val="top"/>
          </w:tcPr>
          <w:p>
            <w:pPr>
              <w:spacing w:after="0"/>
            </w:pPr>
            <w:r>
              <w:rPr>
                <w:b w:val="0"/>
                <w:color w:val="1E2430"/>
                <w:sz w:val="15"/>
              </w:rPr>
              <w:t>Vues matérialisées, tableaux de bord analytiques, sécurité par rôle et ligne, sans charge lourde sur le primaire OLTP.</w:t>
            </w:r>
          </w:p>
        </w:tc>
      </w:tr>
      <w:tr>
        <w:tc>
          <w:tcPr>
            <w:tcW w:type="dxa" w:w="1944"/>
            <w:tcMar>
              <w:top w:w="90" w:type="dxa"/>
              <w:start w:w="90" w:type="dxa"/>
              <w:bottom w:w="90" w:type="dxa"/>
              <w:end w:w="90" w:type="dxa"/>
            </w:tcMar>
            <w:vAlign w:val="top"/>
          </w:tcPr>
          <w:p>
            <w:pPr>
              <w:spacing w:after="0"/>
            </w:pPr>
            <w:r>
              <w:rPr>
                <w:b w:val="0"/>
                <w:color w:val="1E2430"/>
                <w:sz w:val="15"/>
              </w:rPr>
              <w:t>Observabilité</w:t>
            </w:r>
          </w:p>
        </w:tc>
        <w:tc>
          <w:tcPr>
            <w:tcW w:type="dxa" w:w="3240"/>
            <w:tcMar>
              <w:top w:w="90" w:type="dxa"/>
              <w:start w:w="90" w:type="dxa"/>
              <w:bottom w:w="90" w:type="dxa"/>
              <w:end w:w="90" w:type="dxa"/>
            </w:tcMar>
            <w:vAlign w:val="top"/>
          </w:tcPr>
          <w:p>
            <w:pPr>
              <w:spacing w:after="0"/>
            </w:pPr>
            <w:r>
              <w:rPr>
                <w:b w:val="0"/>
                <w:color w:val="1E2430"/>
                <w:sz w:val="15"/>
              </w:rPr>
              <w:t>OpenTelemetry, Prometheus, Grafana, Loki, Tempo</w:t>
            </w:r>
          </w:p>
        </w:tc>
        <w:tc>
          <w:tcPr>
            <w:tcW w:type="dxa" w:w="4464"/>
            <w:tcMar>
              <w:top w:w="90" w:type="dxa"/>
              <w:start w:w="90" w:type="dxa"/>
              <w:bottom w:w="90" w:type="dxa"/>
              <w:end w:w="90" w:type="dxa"/>
            </w:tcMar>
            <w:vAlign w:val="top"/>
          </w:tcPr>
          <w:p>
            <w:pPr>
              <w:spacing w:after="0"/>
            </w:pPr>
            <w:r>
              <w:rPr>
                <w:b w:val="0"/>
                <w:color w:val="1E2430"/>
                <w:sz w:val="15"/>
              </w:rPr>
              <w:t>Métriques, logs et traces corrélés; alertes techniques et métier; tableaux de bord d'exploitation.</w:t>
            </w:r>
          </w:p>
        </w:tc>
      </w:tr>
      <w:tr>
        <w:tc>
          <w:tcPr>
            <w:tcW w:type="dxa" w:w="1944"/>
            <w:tcMar>
              <w:top w:w="90" w:type="dxa"/>
              <w:start w:w="90" w:type="dxa"/>
              <w:bottom w:w="90" w:type="dxa"/>
              <w:end w:w="90" w:type="dxa"/>
            </w:tcMar>
            <w:vAlign w:val="top"/>
          </w:tcPr>
          <w:p>
            <w:pPr>
              <w:spacing w:after="0"/>
            </w:pPr>
            <w:r>
              <w:rPr>
                <w:b w:val="0"/>
                <w:color w:val="1E2430"/>
                <w:sz w:val="15"/>
              </w:rPr>
              <w:t>CI/CD</w:t>
            </w:r>
          </w:p>
        </w:tc>
        <w:tc>
          <w:tcPr>
            <w:tcW w:type="dxa" w:w="3240"/>
            <w:tcMar>
              <w:top w:w="90" w:type="dxa"/>
              <w:start w:w="90" w:type="dxa"/>
              <w:bottom w:w="90" w:type="dxa"/>
              <w:end w:w="90" w:type="dxa"/>
            </w:tcMar>
            <w:vAlign w:val="top"/>
          </w:tcPr>
          <w:p>
            <w:pPr>
              <w:spacing w:after="0"/>
            </w:pPr>
            <w:r>
              <w:rPr>
                <w:b w:val="0"/>
                <w:color w:val="1E2430"/>
                <w:sz w:val="15"/>
              </w:rPr>
              <w:t>GitLab Self-Managed, GitLab Runner, SonarQube, Trivy, OWASP ZAP</w:t>
            </w:r>
          </w:p>
        </w:tc>
        <w:tc>
          <w:tcPr>
            <w:tcW w:type="dxa" w:w="4464"/>
            <w:tcMar>
              <w:top w:w="90" w:type="dxa"/>
              <w:start w:w="90" w:type="dxa"/>
              <w:bottom w:w="90" w:type="dxa"/>
              <w:end w:w="90" w:type="dxa"/>
            </w:tcMar>
            <w:vAlign w:val="top"/>
          </w:tcPr>
          <w:p>
            <w:pPr>
              <w:spacing w:after="0"/>
            </w:pPr>
            <w:r>
              <w:rPr>
                <w:b w:val="0"/>
                <w:color w:val="1E2430"/>
                <w:sz w:val="15"/>
              </w:rPr>
              <w:t>Build, tests, SAST, SCA, secret scan, image scan, SBOM, DAST, approbations et déploiement contrôlé.</w:t>
            </w:r>
          </w:p>
        </w:tc>
      </w:tr>
      <w:tr>
        <w:tc>
          <w:tcPr>
            <w:tcW w:type="dxa" w:w="1944"/>
            <w:tcMar>
              <w:top w:w="90" w:type="dxa"/>
              <w:start w:w="90" w:type="dxa"/>
              <w:bottom w:w="90" w:type="dxa"/>
              <w:end w:w="90" w:type="dxa"/>
            </w:tcMar>
            <w:vAlign w:val="top"/>
          </w:tcPr>
          <w:p>
            <w:pPr>
              <w:spacing w:after="0"/>
            </w:pPr>
            <w:r>
              <w:rPr>
                <w:b w:val="0"/>
                <w:color w:val="1E2430"/>
                <w:sz w:val="15"/>
              </w:rPr>
              <w:t>Conteneurs</w:t>
            </w:r>
          </w:p>
        </w:tc>
        <w:tc>
          <w:tcPr>
            <w:tcW w:type="dxa" w:w="3240"/>
            <w:tcMar>
              <w:top w:w="90" w:type="dxa"/>
              <w:start w:w="90" w:type="dxa"/>
              <w:bottom w:w="90" w:type="dxa"/>
              <w:end w:w="90" w:type="dxa"/>
            </w:tcMar>
            <w:vAlign w:val="top"/>
          </w:tcPr>
          <w:p>
            <w:pPr>
              <w:spacing w:after="0"/>
            </w:pPr>
            <w:r>
              <w:rPr>
                <w:b w:val="0"/>
                <w:color w:val="1E2430"/>
                <w:sz w:val="15"/>
              </w:rPr>
              <w:t>Docker/OCI; Kubernetes conforme, RKE2 recommandé</w:t>
            </w:r>
          </w:p>
        </w:tc>
        <w:tc>
          <w:tcPr>
            <w:tcW w:type="dxa" w:w="4464"/>
            <w:tcMar>
              <w:top w:w="90" w:type="dxa"/>
              <w:start w:w="90" w:type="dxa"/>
              <w:bottom w:w="90" w:type="dxa"/>
              <w:end w:w="90" w:type="dxa"/>
            </w:tcMar>
            <w:vAlign w:val="top"/>
          </w:tcPr>
          <w:p>
            <w:pPr>
              <w:spacing w:after="0"/>
            </w:pPr>
            <w:r>
              <w:rPr>
                <w:b w:val="0"/>
                <w:color w:val="1E2430"/>
                <w:sz w:val="15"/>
              </w:rPr>
              <w:t>PoC reproductible; production haute disponibilité. Les images sont minimales, signées, immuables et non-root.</w:t>
            </w:r>
          </w:p>
        </w:tc>
      </w:tr>
      <w:tr>
        <w:tc>
          <w:tcPr>
            <w:tcW w:type="dxa" w:w="1944"/>
            <w:tcMar>
              <w:top w:w="90" w:type="dxa"/>
              <w:start w:w="90" w:type="dxa"/>
              <w:bottom w:w="90" w:type="dxa"/>
              <w:end w:w="90" w:type="dxa"/>
            </w:tcMar>
            <w:vAlign w:val="top"/>
          </w:tcPr>
          <w:p>
            <w:pPr>
              <w:spacing w:after="0"/>
            </w:pPr>
            <w:r>
              <w:rPr>
                <w:b w:val="0"/>
                <w:color w:val="1E2430"/>
                <w:sz w:val="15"/>
              </w:rPr>
              <w:t>Secrets</w:t>
            </w:r>
          </w:p>
        </w:tc>
        <w:tc>
          <w:tcPr>
            <w:tcW w:type="dxa" w:w="3240"/>
            <w:tcMar>
              <w:top w:w="90" w:type="dxa"/>
              <w:start w:w="90" w:type="dxa"/>
              <w:bottom w:w="90" w:type="dxa"/>
              <w:end w:w="90" w:type="dxa"/>
            </w:tcMar>
            <w:vAlign w:val="top"/>
          </w:tcPr>
          <w:p>
            <w:pPr>
              <w:spacing w:after="0"/>
            </w:pPr>
            <w:r>
              <w:rPr>
                <w:b w:val="0"/>
                <w:color w:val="1E2430"/>
                <w:sz w:val="15"/>
              </w:rPr>
              <w:t>Gestionnaire de secrets dédié, KMS/HSM si disponible</w:t>
            </w:r>
          </w:p>
        </w:tc>
        <w:tc>
          <w:tcPr>
            <w:tcW w:type="dxa" w:w="4464"/>
            <w:tcMar>
              <w:top w:w="90" w:type="dxa"/>
              <w:start w:w="90" w:type="dxa"/>
              <w:bottom w:w="90" w:type="dxa"/>
              <w:end w:w="90" w:type="dxa"/>
            </w:tcMar>
            <w:vAlign w:val="top"/>
          </w:tcPr>
          <w:p>
            <w:pPr>
              <w:spacing w:after="0"/>
            </w:pPr>
            <w:r>
              <w:rPr>
                <w:b w:val="0"/>
                <w:color w:val="1E2430"/>
                <w:sz w:val="15"/>
              </w:rPr>
              <w:t>Rotation, chiffrement, séparation par environnement; aucune clé dans Git, image, journal ou fichier de configuration partagé.</w:t>
            </w:r>
          </w:p>
        </w:tc>
      </w:tr>
      <w:tr>
        <w:tc>
          <w:tcPr>
            <w:tcW w:type="dxa" w:w="1944"/>
            <w:tcMar>
              <w:top w:w="90" w:type="dxa"/>
              <w:start w:w="90" w:type="dxa"/>
              <w:bottom w:w="90" w:type="dxa"/>
              <w:end w:w="90" w:type="dxa"/>
            </w:tcMar>
            <w:vAlign w:val="top"/>
          </w:tcPr>
          <w:p>
            <w:pPr>
              <w:spacing w:after="0"/>
            </w:pPr>
            <w:r>
              <w:rPr>
                <w:b w:val="0"/>
                <w:color w:val="1E2430"/>
                <w:sz w:val="15"/>
              </w:rPr>
              <w:t>Systèmes</w:t>
            </w:r>
          </w:p>
        </w:tc>
        <w:tc>
          <w:tcPr>
            <w:tcW w:type="dxa" w:w="3240"/>
            <w:tcMar>
              <w:top w:w="90" w:type="dxa"/>
              <w:start w:w="90" w:type="dxa"/>
              <w:bottom w:w="90" w:type="dxa"/>
              <w:end w:w="90" w:type="dxa"/>
            </w:tcMar>
            <w:vAlign w:val="top"/>
          </w:tcPr>
          <w:p>
            <w:pPr>
              <w:spacing w:after="0"/>
            </w:pPr>
            <w:r>
              <w:rPr>
                <w:b w:val="0"/>
                <w:color w:val="1E2430"/>
                <w:sz w:val="15"/>
              </w:rPr>
              <w:t>Linux serveur maintenu</w:t>
            </w:r>
          </w:p>
        </w:tc>
        <w:tc>
          <w:tcPr>
            <w:tcW w:type="dxa" w:w="4464"/>
            <w:tcMar>
              <w:top w:w="90" w:type="dxa"/>
              <w:start w:w="90" w:type="dxa"/>
              <w:bottom w:w="90" w:type="dxa"/>
              <w:end w:w="90" w:type="dxa"/>
            </w:tcMar>
            <w:vAlign w:val="top"/>
          </w:tcPr>
          <w:p>
            <w:pPr>
              <w:spacing w:after="0"/>
            </w:pPr>
            <w:r>
              <w:rPr>
                <w:b w:val="0"/>
                <w:color w:val="1E2430"/>
                <w:sz w:val="15"/>
              </w:rPr>
              <w:t>Durcissement CIS adapté, NTP, antivirus/EDR selon politique, pare-feu restrictif et correctifs planifiés.</w:t>
            </w:r>
          </w:p>
        </w:tc>
      </w:tr>
    </w:tbl>
    <w:p/>
    <w:p>
      <w:pPr>
        <w:pStyle w:val="Heading2"/>
      </w:pPr>
      <w:r>
        <w:t>18.5 Règles d'architecture PostgreSQL</w:t>
      </w:r>
    </w:p>
    <w:p>
      <w:r>
        <w:t>PostgreSQL doit porter l'intégrité finale des données et non uniquement servir de stockage passif. Les contraintes de base, transactions, index, politiques de sécurité et mécanismes de reprise sont des exigences de conception et de recette.</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ID</w:t>
            </w:r>
          </w:p>
        </w:tc>
        <w:tc>
          <w:tcPr>
            <w:tcW w:type="dxa" w:w="4680"/>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Exigence fonctionnelle</w:t>
            </w:r>
          </w:p>
        </w:tc>
        <w:tc>
          <w:tcPr>
            <w:tcW w:type="dxa" w:w="893"/>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Priorité</w:t>
            </w:r>
          </w:p>
        </w:tc>
        <w:tc>
          <w:tcPr>
            <w:tcW w:type="dxa" w:w="2952"/>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Critère d'acceptation</w:t>
            </w:r>
          </w:p>
        </w:tc>
      </w:tr>
      <w:tr>
        <w:tc>
          <w:tcPr>
            <w:tcW w:type="dxa" w:w="1037"/>
            <w:tcMar>
              <w:top w:w="90" w:type="dxa"/>
              <w:start w:w="90" w:type="dxa"/>
              <w:bottom w:w="90" w:type="dxa"/>
              <w:end w:w="90" w:type="dxa"/>
            </w:tcMar>
            <w:vAlign w:val="top"/>
          </w:tcPr>
          <w:p>
            <w:pPr>
              <w:spacing w:after="0"/>
            </w:pPr>
            <w:r>
              <w:rPr>
                <w:b w:val="0"/>
                <w:color w:val="1E2430"/>
                <w:sz w:val="15"/>
              </w:rPr>
              <w:t>DB-001</w:t>
            </w:r>
          </w:p>
        </w:tc>
        <w:tc>
          <w:tcPr>
            <w:tcW w:type="dxa" w:w="4680"/>
            <w:tcMar>
              <w:top w:w="90" w:type="dxa"/>
              <w:start w:w="90" w:type="dxa"/>
              <w:bottom w:w="90" w:type="dxa"/>
              <w:end w:w="90" w:type="dxa"/>
            </w:tcMar>
            <w:vAlign w:val="top"/>
          </w:tcPr>
          <w:p>
            <w:pPr>
              <w:spacing w:after="0"/>
            </w:pPr>
            <w:r>
              <w:rPr>
                <w:b w:val="0"/>
                <w:color w:val="1E2430"/>
                <w:sz w:val="15"/>
              </w:rPr>
              <w:t>Utiliser PostgreSQL comme seul SGBD relationnel de production.</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Les bases métier, Keycloak, Flowable et métadonnées BI utilisent PostgreSQL; H2 est limité aux tests locaux.</w:t>
            </w:r>
          </w:p>
        </w:tc>
      </w:tr>
      <w:tr>
        <w:tc>
          <w:tcPr>
            <w:tcW w:type="dxa" w:w="1037"/>
            <w:tcMar>
              <w:top w:w="90" w:type="dxa"/>
              <w:start w:w="90" w:type="dxa"/>
              <w:bottom w:w="90" w:type="dxa"/>
              <w:end w:w="90" w:type="dxa"/>
            </w:tcMar>
            <w:vAlign w:val="top"/>
          </w:tcPr>
          <w:p>
            <w:pPr>
              <w:spacing w:after="0"/>
            </w:pPr>
            <w:r>
              <w:rPr>
                <w:b w:val="0"/>
                <w:color w:val="1E2430"/>
                <w:sz w:val="15"/>
              </w:rPr>
              <w:t>DB-002</w:t>
            </w:r>
          </w:p>
        </w:tc>
        <w:tc>
          <w:tcPr>
            <w:tcW w:type="dxa" w:w="4680"/>
            <w:tcMar>
              <w:top w:w="90" w:type="dxa"/>
              <w:start w:w="90" w:type="dxa"/>
              <w:bottom w:w="90" w:type="dxa"/>
              <w:end w:w="90" w:type="dxa"/>
            </w:tcMar>
            <w:vAlign w:val="top"/>
          </w:tcPr>
          <w:p>
            <w:pPr>
              <w:spacing w:after="0"/>
            </w:pPr>
            <w:r>
              <w:rPr>
                <w:b w:val="0"/>
                <w:color w:val="1E2430"/>
                <w:sz w:val="15"/>
              </w:rPr>
              <w:t>Maintenir PostgreSQL sur une version officiellement supportée et le dernier correctif mineur validé.</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La matrice de versions indique date d'installation, patch, fin de support et plan de montée de version.</w:t>
            </w:r>
          </w:p>
        </w:tc>
      </w:tr>
      <w:tr>
        <w:tc>
          <w:tcPr>
            <w:tcW w:type="dxa" w:w="1037"/>
            <w:tcMar>
              <w:top w:w="90" w:type="dxa"/>
              <w:start w:w="90" w:type="dxa"/>
              <w:bottom w:w="90" w:type="dxa"/>
              <w:end w:w="90" w:type="dxa"/>
            </w:tcMar>
            <w:vAlign w:val="top"/>
          </w:tcPr>
          <w:p>
            <w:pPr>
              <w:spacing w:after="0"/>
            </w:pPr>
            <w:r>
              <w:rPr>
                <w:b w:val="0"/>
                <w:color w:val="1E2430"/>
                <w:sz w:val="15"/>
              </w:rPr>
              <w:t>DB-003</w:t>
            </w:r>
          </w:p>
        </w:tc>
        <w:tc>
          <w:tcPr>
            <w:tcW w:type="dxa" w:w="4680"/>
            <w:tcMar>
              <w:top w:w="90" w:type="dxa"/>
              <w:start w:w="90" w:type="dxa"/>
              <w:bottom w:w="90" w:type="dxa"/>
              <w:end w:w="90" w:type="dxa"/>
            </w:tcMar>
            <w:vAlign w:val="top"/>
          </w:tcPr>
          <w:p>
            <w:pPr>
              <w:spacing w:after="0"/>
            </w:pPr>
            <w:r>
              <w:rPr>
                <w:b w:val="0"/>
                <w:color w:val="1E2430"/>
                <w:sz w:val="15"/>
              </w:rPr>
              <w:t>Séparer les domaines par schémas et propriétaires techniques distincts.</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Exemples : member, contribution, payment, recovery, service, governance, integration, audit, reporting.</w:t>
            </w:r>
          </w:p>
        </w:tc>
      </w:tr>
      <w:tr>
        <w:tc>
          <w:tcPr>
            <w:tcW w:type="dxa" w:w="1037"/>
            <w:tcMar>
              <w:top w:w="90" w:type="dxa"/>
              <w:start w:w="90" w:type="dxa"/>
              <w:bottom w:w="90" w:type="dxa"/>
              <w:end w:w="90" w:type="dxa"/>
            </w:tcMar>
            <w:vAlign w:val="top"/>
          </w:tcPr>
          <w:p>
            <w:pPr>
              <w:spacing w:after="0"/>
            </w:pPr>
            <w:r>
              <w:rPr>
                <w:b w:val="0"/>
                <w:color w:val="1E2430"/>
                <w:sz w:val="15"/>
              </w:rPr>
              <w:t>DB-004</w:t>
            </w:r>
          </w:p>
        </w:tc>
        <w:tc>
          <w:tcPr>
            <w:tcW w:type="dxa" w:w="4680"/>
            <w:tcMar>
              <w:top w:w="90" w:type="dxa"/>
              <w:start w:w="90" w:type="dxa"/>
              <w:bottom w:w="90" w:type="dxa"/>
              <w:end w:w="90" w:type="dxa"/>
            </w:tcMar>
            <w:vAlign w:val="top"/>
          </w:tcPr>
          <w:p>
            <w:pPr>
              <w:spacing w:after="0"/>
            </w:pPr>
            <w:r>
              <w:rPr>
                <w:b w:val="0"/>
                <w:color w:val="1E2430"/>
                <w:sz w:val="15"/>
              </w:rPr>
              <w:t>Employer des clés techniques UUID et des numéros métiers lisibles séparés.</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Un changement de numéro métier ne modifie jamais la clé ni les relations.</w:t>
            </w:r>
          </w:p>
        </w:tc>
      </w:tr>
      <w:tr>
        <w:tc>
          <w:tcPr>
            <w:tcW w:type="dxa" w:w="1037"/>
            <w:tcMar>
              <w:top w:w="90" w:type="dxa"/>
              <w:start w:w="90" w:type="dxa"/>
              <w:bottom w:w="90" w:type="dxa"/>
              <w:end w:w="90" w:type="dxa"/>
            </w:tcMar>
            <w:vAlign w:val="top"/>
          </w:tcPr>
          <w:p>
            <w:pPr>
              <w:spacing w:after="0"/>
            </w:pPr>
            <w:r>
              <w:rPr>
                <w:b w:val="0"/>
                <w:color w:val="1E2430"/>
                <w:sz w:val="15"/>
              </w:rPr>
              <w:t>DB-005</w:t>
            </w:r>
          </w:p>
        </w:tc>
        <w:tc>
          <w:tcPr>
            <w:tcW w:type="dxa" w:w="4680"/>
            <w:tcMar>
              <w:top w:w="90" w:type="dxa"/>
              <w:start w:w="90" w:type="dxa"/>
              <w:bottom w:w="90" w:type="dxa"/>
              <w:end w:w="90" w:type="dxa"/>
            </w:tcMar>
            <w:vAlign w:val="top"/>
          </w:tcPr>
          <w:p>
            <w:pPr>
              <w:spacing w:after="0"/>
            </w:pPr>
            <w:r>
              <w:rPr>
                <w:b w:val="0"/>
                <w:color w:val="1E2430"/>
                <w:sz w:val="15"/>
              </w:rPr>
              <w:t>Stocker les montants en NUMERIC avec code devise et règles d'arrondi explicites.</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Aucun type flottant n'est utilisé pour une cotisation, prime, commission, frais ou solde.</w:t>
            </w:r>
          </w:p>
        </w:tc>
      </w:tr>
      <w:tr>
        <w:tc>
          <w:tcPr>
            <w:tcW w:type="dxa" w:w="1037"/>
            <w:tcMar>
              <w:top w:w="90" w:type="dxa"/>
              <w:start w:w="90" w:type="dxa"/>
              <w:bottom w:w="90" w:type="dxa"/>
              <w:end w:w="90" w:type="dxa"/>
            </w:tcMar>
            <w:vAlign w:val="top"/>
          </w:tcPr>
          <w:p>
            <w:pPr>
              <w:spacing w:after="0"/>
            </w:pPr>
            <w:r>
              <w:rPr>
                <w:b w:val="0"/>
                <w:color w:val="1E2430"/>
                <w:sz w:val="15"/>
              </w:rPr>
              <w:t>DB-006</w:t>
            </w:r>
          </w:p>
        </w:tc>
        <w:tc>
          <w:tcPr>
            <w:tcW w:type="dxa" w:w="4680"/>
            <w:tcMar>
              <w:top w:w="90" w:type="dxa"/>
              <w:start w:w="90" w:type="dxa"/>
              <w:bottom w:w="90" w:type="dxa"/>
              <w:end w:w="90" w:type="dxa"/>
            </w:tcMar>
            <w:vAlign w:val="top"/>
          </w:tcPr>
          <w:p>
            <w:pPr>
              <w:spacing w:after="0"/>
            </w:pPr>
            <w:r>
              <w:rPr>
                <w:b w:val="0"/>
                <w:color w:val="1E2430"/>
                <w:sz w:val="15"/>
              </w:rPr>
              <w:t>Stocker les horodatages en TIMESTAMPTZ et afficher selon Africa/Bamako.</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L'instant UTC, le fuseau d'affichage et la date métier restent non ambigus.</w:t>
            </w:r>
          </w:p>
        </w:tc>
      </w:tr>
      <w:tr>
        <w:tc>
          <w:tcPr>
            <w:tcW w:type="dxa" w:w="1037"/>
            <w:tcMar>
              <w:top w:w="90" w:type="dxa"/>
              <w:start w:w="90" w:type="dxa"/>
              <w:bottom w:w="90" w:type="dxa"/>
              <w:end w:w="90" w:type="dxa"/>
            </w:tcMar>
            <w:vAlign w:val="top"/>
          </w:tcPr>
          <w:p>
            <w:pPr>
              <w:spacing w:after="0"/>
            </w:pPr>
            <w:r>
              <w:rPr>
                <w:b w:val="0"/>
                <w:color w:val="1E2430"/>
                <w:sz w:val="15"/>
              </w:rPr>
              <w:t>DB-007</w:t>
            </w:r>
          </w:p>
        </w:tc>
        <w:tc>
          <w:tcPr>
            <w:tcW w:type="dxa" w:w="4680"/>
            <w:tcMar>
              <w:top w:w="90" w:type="dxa"/>
              <w:start w:w="90" w:type="dxa"/>
              <w:bottom w:w="90" w:type="dxa"/>
              <w:end w:w="90" w:type="dxa"/>
            </w:tcMar>
            <w:vAlign w:val="top"/>
          </w:tcPr>
          <w:p>
            <w:pPr>
              <w:spacing w:after="0"/>
            </w:pPr>
            <w:r>
              <w:rPr>
                <w:b w:val="0"/>
                <w:color w:val="1E2430"/>
                <w:sz w:val="15"/>
              </w:rPr>
              <w:t>Imposer clés étrangères, unicité, CHECK et transactions sur les invariants métier.</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Les incohérences critiques sont rejetées même si elles proviennent d'un import ou d'une API.</w:t>
            </w:r>
          </w:p>
        </w:tc>
      </w:tr>
      <w:tr>
        <w:tc>
          <w:tcPr>
            <w:tcW w:type="dxa" w:w="1037"/>
            <w:tcMar>
              <w:top w:w="90" w:type="dxa"/>
              <w:start w:w="90" w:type="dxa"/>
              <w:bottom w:w="90" w:type="dxa"/>
              <w:end w:w="90" w:type="dxa"/>
            </w:tcMar>
            <w:vAlign w:val="top"/>
          </w:tcPr>
          <w:p>
            <w:pPr>
              <w:spacing w:after="0"/>
            </w:pPr>
            <w:r>
              <w:rPr>
                <w:b w:val="0"/>
                <w:color w:val="1E2430"/>
                <w:sz w:val="15"/>
              </w:rPr>
              <w:t>DB-008</w:t>
            </w:r>
          </w:p>
        </w:tc>
        <w:tc>
          <w:tcPr>
            <w:tcW w:type="dxa" w:w="4680"/>
            <w:tcMar>
              <w:top w:w="90" w:type="dxa"/>
              <w:start w:w="90" w:type="dxa"/>
              <w:bottom w:w="90" w:type="dxa"/>
              <w:end w:w="90" w:type="dxa"/>
            </w:tcMar>
            <w:vAlign w:val="top"/>
          </w:tcPr>
          <w:p>
            <w:pPr>
              <w:spacing w:after="0"/>
            </w:pPr>
            <w:r>
              <w:rPr>
                <w:b w:val="0"/>
                <w:color w:val="1E2430"/>
                <w:sz w:val="15"/>
              </w:rPr>
              <w:t>Rendre les écritures financières validées append-only.</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Aucune suppression physique; annulation et correction par écritures compensatrices liées.</w:t>
            </w:r>
          </w:p>
        </w:tc>
      </w:tr>
      <w:tr>
        <w:tc>
          <w:tcPr>
            <w:tcW w:type="dxa" w:w="1037"/>
            <w:tcMar>
              <w:top w:w="90" w:type="dxa"/>
              <w:start w:w="90" w:type="dxa"/>
              <w:bottom w:w="90" w:type="dxa"/>
              <w:end w:w="90" w:type="dxa"/>
            </w:tcMar>
            <w:vAlign w:val="top"/>
          </w:tcPr>
          <w:p>
            <w:pPr>
              <w:spacing w:after="0"/>
            </w:pPr>
            <w:r>
              <w:rPr>
                <w:b w:val="0"/>
                <w:color w:val="1E2430"/>
                <w:sz w:val="15"/>
              </w:rPr>
              <w:t>DB-009</w:t>
            </w:r>
          </w:p>
        </w:tc>
        <w:tc>
          <w:tcPr>
            <w:tcW w:type="dxa" w:w="4680"/>
            <w:tcMar>
              <w:top w:w="90" w:type="dxa"/>
              <w:start w:w="90" w:type="dxa"/>
              <w:bottom w:w="90" w:type="dxa"/>
              <w:end w:w="90" w:type="dxa"/>
            </w:tcMar>
            <w:vAlign w:val="top"/>
          </w:tcPr>
          <w:p>
            <w:pPr>
              <w:spacing w:after="0"/>
            </w:pPr>
            <w:r>
              <w:rPr>
                <w:b w:val="0"/>
                <w:color w:val="1E2430"/>
                <w:sz w:val="15"/>
              </w:rPr>
              <w:t>Garantir l'idempotence par contraintes uniques et clés de déduplication.</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Une transaction externe, un webhook ou un lot rejoué ne peut être comptabilisé deux fois.</w:t>
            </w:r>
          </w:p>
        </w:tc>
      </w:tr>
      <w:tr>
        <w:tc>
          <w:tcPr>
            <w:tcW w:type="dxa" w:w="1037"/>
            <w:tcMar>
              <w:top w:w="90" w:type="dxa"/>
              <w:start w:w="90" w:type="dxa"/>
              <w:bottom w:w="90" w:type="dxa"/>
              <w:end w:w="90" w:type="dxa"/>
            </w:tcMar>
            <w:vAlign w:val="top"/>
          </w:tcPr>
          <w:p>
            <w:pPr>
              <w:spacing w:after="0"/>
            </w:pPr>
            <w:r>
              <w:rPr>
                <w:b w:val="0"/>
                <w:color w:val="1E2430"/>
                <w:sz w:val="15"/>
              </w:rPr>
              <w:t>DB-010</w:t>
            </w:r>
          </w:p>
        </w:tc>
        <w:tc>
          <w:tcPr>
            <w:tcW w:type="dxa" w:w="4680"/>
            <w:tcMar>
              <w:top w:w="90" w:type="dxa"/>
              <w:start w:w="90" w:type="dxa"/>
              <w:bottom w:w="90" w:type="dxa"/>
              <w:end w:w="90" w:type="dxa"/>
            </w:tcMar>
            <w:vAlign w:val="top"/>
          </w:tcPr>
          <w:p>
            <w:pPr>
              <w:spacing w:after="0"/>
            </w:pPr>
            <w:r>
              <w:rPr>
                <w:b w:val="0"/>
                <w:color w:val="1E2430"/>
                <w:sz w:val="15"/>
              </w:rPr>
              <w:t>Limiter JSONB aux métadonnées extensibles non critiques.</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Les champs de recherche, calcul, contrôle ou reporting sont modélisés en colonnes typées.</w:t>
            </w:r>
          </w:p>
        </w:tc>
      </w:tr>
      <w:tr>
        <w:tc>
          <w:tcPr>
            <w:tcW w:type="dxa" w:w="1037"/>
            <w:tcMar>
              <w:top w:w="90" w:type="dxa"/>
              <w:start w:w="90" w:type="dxa"/>
              <w:bottom w:w="90" w:type="dxa"/>
              <w:end w:w="90" w:type="dxa"/>
            </w:tcMar>
            <w:vAlign w:val="top"/>
          </w:tcPr>
          <w:p>
            <w:pPr>
              <w:spacing w:after="0"/>
            </w:pPr>
            <w:r>
              <w:rPr>
                <w:b w:val="0"/>
                <w:color w:val="1E2430"/>
                <w:sz w:val="15"/>
              </w:rPr>
              <w:t>DB-011</w:t>
            </w:r>
          </w:p>
        </w:tc>
        <w:tc>
          <w:tcPr>
            <w:tcW w:type="dxa" w:w="4680"/>
            <w:tcMar>
              <w:top w:w="90" w:type="dxa"/>
              <w:start w:w="90" w:type="dxa"/>
              <w:bottom w:w="90" w:type="dxa"/>
              <w:end w:w="90" w:type="dxa"/>
            </w:tcMar>
            <w:vAlign w:val="top"/>
          </w:tcPr>
          <w:p>
            <w:pPr>
              <w:spacing w:after="0"/>
            </w:pPr>
            <w:r>
              <w:rPr>
                <w:b w:val="0"/>
                <w:color w:val="1E2430"/>
                <w:sz w:val="15"/>
              </w:rPr>
              <w:t>Indexer et partitionner selon des mesures réelles.</w:t>
            </w:r>
          </w:p>
        </w:tc>
        <w:tc>
          <w:tcPr>
            <w:tcW w:type="dxa" w:w="893"/>
            <w:tcMar>
              <w:top w:w="90" w:type="dxa"/>
              <w:start w:w="90" w:type="dxa"/>
              <w:bottom w:w="90" w:type="dxa"/>
              <w:end w:w="90" w:type="dxa"/>
            </w:tcMar>
            <w:vAlign w:val="top"/>
          </w:tcPr>
          <w:p>
            <w:pPr>
              <w:spacing w:after="0"/>
            </w:pPr>
            <w:r>
              <w:rPr>
                <w:b w:val="0"/>
                <w:color w:val="1E2430"/>
                <w:sz w:val="15"/>
              </w:rPr>
              <w:t>Should</w:t>
            </w:r>
          </w:p>
        </w:tc>
        <w:tc>
          <w:tcPr>
            <w:tcW w:type="dxa" w:w="2952"/>
            <w:tcMar>
              <w:top w:w="90" w:type="dxa"/>
              <w:start w:w="90" w:type="dxa"/>
              <w:bottom w:w="90" w:type="dxa"/>
              <w:end w:w="90" w:type="dxa"/>
            </w:tcMar>
            <w:vAlign w:val="top"/>
          </w:tcPr>
          <w:p>
            <w:pPr>
              <w:spacing w:after="0"/>
            </w:pPr>
            <w:r>
              <w:rPr>
                <w:b w:val="0"/>
                <w:color w:val="1E2430"/>
                <w:sz w:val="15"/>
              </w:rPr>
              <w:t>B-tree par défaut; GIN/pg_trgm pour recherche; partitionnement des audits, événements et notifications si nécessaire.</w:t>
            </w:r>
          </w:p>
        </w:tc>
      </w:tr>
      <w:tr>
        <w:tc>
          <w:tcPr>
            <w:tcW w:type="dxa" w:w="1037"/>
            <w:tcMar>
              <w:top w:w="90" w:type="dxa"/>
              <w:start w:w="90" w:type="dxa"/>
              <w:bottom w:w="90" w:type="dxa"/>
              <w:end w:w="90" w:type="dxa"/>
            </w:tcMar>
            <w:vAlign w:val="top"/>
          </w:tcPr>
          <w:p>
            <w:pPr>
              <w:spacing w:after="0"/>
            </w:pPr>
            <w:r>
              <w:rPr>
                <w:b w:val="0"/>
                <w:color w:val="1E2430"/>
                <w:sz w:val="15"/>
              </w:rPr>
              <w:t>DB-012</w:t>
            </w:r>
          </w:p>
        </w:tc>
        <w:tc>
          <w:tcPr>
            <w:tcW w:type="dxa" w:w="4680"/>
            <w:tcMar>
              <w:top w:w="90" w:type="dxa"/>
              <w:start w:w="90" w:type="dxa"/>
              <w:bottom w:w="90" w:type="dxa"/>
              <w:end w:w="90" w:type="dxa"/>
            </w:tcMar>
            <w:vAlign w:val="top"/>
          </w:tcPr>
          <w:p>
            <w:pPr>
              <w:spacing w:after="0"/>
            </w:pPr>
            <w:r>
              <w:rPr>
                <w:b w:val="0"/>
                <w:color w:val="1E2430"/>
                <w:sz w:val="15"/>
              </w:rPr>
              <w:t>Appliquer les migrations par Flyway dans la CI/CD.</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Scripts versionnés, revus, testés sur copie représentative et compatibles avec un déploiement progressif.</w:t>
            </w:r>
          </w:p>
        </w:tc>
      </w:tr>
      <w:tr>
        <w:tc>
          <w:tcPr>
            <w:tcW w:type="dxa" w:w="1037"/>
            <w:tcMar>
              <w:top w:w="90" w:type="dxa"/>
              <w:start w:w="90" w:type="dxa"/>
              <w:bottom w:w="90" w:type="dxa"/>
              <w:end w:w="90" w:type="dxa"/>
            </w:tcMar>
            <w:vAlign w:val="top"/>
          </w:tcPr>
          <w:p>
            <w:pPr>
              <w:spacing w:after="0"/>
            </w:pPr>
            <w:r>
              <w:rPr>
                <w:b w:val="0"/>
                <w:color w:val="1E2430"/>
                <w:sz w:val="15"/>
              </w:rPr>
              <w:t>DB-013</w:t>
            </w:r>
          </w:p>
        </w:tc>
        <w:tc>
          <w:tcPr>
            <w:tcW w:type="dxa" w:w="4680"/>
            <w:tcMar>
              <w:top w:w="90" w:type="dxa"/>
              <w:start w:w="90" w:type="dxa"/>
              <w:bottom w:w="90" w:type="dxa"/>
              <w:end w:w="90" w:type="dxa"/>
            </w:tcMar>
            <w:vAlign w:val="top"/>
          </w:tcPr>
          <w:p>
            <w:pPr>
              <w:spacing w:after="0"/>
            </w:pPr>
            <w:r>
              <w:rPr>
                <w:b w:val="0"/>
                <w:color w:val="1E2430"/>
                <w:sz w:val="15"/>
              </w:rPr>
              <w:t>Mettre en place sauvegardes chiffrées, archivage WAL et PITR.</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RPO 15 min et RTO 4 h démontrés par un test de restauration documenté.</w:t>
            </w:r>
          </w:p>
        </w:tc>
      </w:tr>
      <w:tr>
        <w:tc>
          <w:tcPr>
            <w:tcW w:type="dxa" w:w="1037"/>
            <w:tcMar>
              <w:top w:w="90" w:type="dxa"/>
              <w:start w:w="90" w:type="dxa"/>
              <w:bottom w:w="90" w:type="dxa"/>
              <w:end w:w="90" w:type="dxa"/>
            </w:tcMar>
            <w:vAlign w:val="top"/>
          </w:tcPr>
          <w:p>
            <w:pPr>
              <w:spacing w:after="0"/>
            </w:pPr>
            <w:r>
              <w:rPr>
                <w:b w:val="0"/>
                <w:color w:val="1E2430"/>
                <w:sz w:val="15"/>
              </w:rPr>
              <w:t>DB-014</w:t>
            </w:r>
          </w:p>
        </w:tc>
        <w:tc>
          <w:tcPr>
            <w:tcW w:type="dxa" w:w="4680"/>
            <w:tcMar>
              <w:top w:w="90" w:type="dxa"/>
              <w:start w:w="90" w:type="dxa"/>
              <w:bottom w:w="90" w:type="dxa"/>
              <w:end w:w="90" w:type="dxa"/>
            </w:tcMar>
            <w:vAlign w:val="top"/>
          </w:tcPr>
          <w:p>
            <w:pPr>
              <w:spacing w:after="0"/>
            </w:pPr>
            <w:r>
              <w:rPr>
                <w:b w:val="0"/>
                <w:color w:val="1E2430"/>
                <w:sz w:val="15"/>
              </w:rPr>
              <w:t>Prévoir haute disponibilité et lecture décisionnelle séparée.</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Standby répliqué et bascule testée; BI sur réplique ou vues dédiées, jamais par requêtes lourdes sur le primaire.</w:t>
            </w:r>
          </w:p>
        </w:tc>
      </w:tr>
      <w:tr>
        <w:tc>
          <w:tcPr>
            <w:tcW w:type="dxa" w:w="1037"/>
            <w:tcMar>
              <w:top w:w="90" w:type="dxa"/>
              <w:start w:w="90" w:type="dxa"/>
              <w:bottom w:w="90" w:type="dxa"/>
              <w:end w:w="90" w:type="dxa"/>
            </w:tcMar>
            <w:vAlign w:val="top"/>
          </w:tcPr>
          <w:p>
            <w:pPr>
              <w:spacing w:after="0"/>
            </w:pPr>
            <w:r>
              <w:rPr>
                <w:b w:val="0"/>
                <w:color w:val="1E2430"/>
                <w:sz w:val="15"/>
              </w:rPr>
              <w:t>DB-015</w:t>
            </w:r>
          </w:p>
        </w:tc>
        <w:tc>
          <w:tcPr>
            <w:tcW w:type="dxa" w:w="4680"/>
            <w:tcMar>
              <w:top w:w="90" w:type="dxa"/>
              <w:start w:w="90" w:type="dxa"/>
              <w:bottom w:w="90" w:type="dxa"/>
              <w:end w:w="90" w:type="dxa"/>
            </w:tcMar>
            <w:vAlign w:val="top"/>
          </w:tcPr>
          <w:p>
            <w:pPr>
              <w:spacing w:after="0"/>
            </w:pPr>
            <w:r>
              <w:rPr>
                <w:b w:val="0"/>
                <w:color w:val="1E2430"/>
                <w:sz w:val="15"/>
              </w:rPr>
              <w:t>Superviser capacité, verrous, réplication, vacuum et requêtes lentes.</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Alertes, pg_stat_statements, seuils et runbooks d'intervention disponibles.</w:t>
            </w:r>
          </w:p>
        </w:tc>
      </w:tr>
      <w:tr>
        <w:tc>
          <w:tcPr>
            <w:tcW w:type="dxa" w:w="1037"/>
            <w:tcMar>
              <w:top w:w="90" w:type="dxa"/>
              <w:start w:w="90" w:type="dxa"/>
              <w:bottom w:w="90" w:type="dxa"/>
              <w:end w:w="90" w:type="dxa"/>
            </w:tcMar>
            <w:vAlign w:val="top"/>
          </w:tcPr>
          <w:p>
            <w:pPr>
              <w:spacing w:after="0"/>
            </w:pPr>
            <w:r>
              <w:rPr>
                <w:b w:val="0"/>
                <w:color w:val="1E2430"/>
                <w:sz w:val="15"/>
              </w:rPr>
              <w:t>DB-016</w:t>
            </w:r>
          </w:p>
        </w:tc>
        <w:tc>
          <w:tcPr>
            <w:tcW w:type="dxa" w:w="4680"/>
            <w:tcMar>
              <w:top w:w="90" w:type="dxa"/>
              <w:start w:w="90" w:type="dxa"/>
              <w:bottom w:w="90" w:type="dxa"/>
              <w:end w:w="90" w:type="dxa"/>
            </w:tcMar>
            <w:vAlign w:val="top"/>
          </w:tcPr>
          <w:p>
            <w:pPr>
              <w:spacing w:after="0"/>
            </w:pPr>
            <w:r>
              <w:rPr>
                <w:b w:val="0"/>
                <w:color w:val="1E2430"/>
                <w:sz w:val="15"/>
              </w:rPr>
              <w:t>Assurer la réversibilité PostgreSQL complète.</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Exports SQL et formats ouverts, schéma, dictionnaire, migrations, pièces et contrôles d’intégrité sont remis au CNPM.</w:t>
            </w:r>
          </w:p>
        </w:tc>
      </w:tr>
    </w:tbl>
    <w:p/>
    <w:p>
      <w:pPr>
        <w:pStyle w:val="Heading2"/>
      </w:pPr>
      <w:r>
        <w:t>18.6 Architecture des données et du décisionnel</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232"/>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Bloc</w:t>
            </w:r>
          </w:p>
        </w:tc>
        <w:tc>
          <w:tcPr>
            <w:tcW w:type="dxa" w:w="7416"/>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Règle de conception</w:t>
            </w:r>
          </w:p>
        </w:tc>
      </w:tr>
      <w:tr>
        <w:tc>
          <w:tcPr>
            <w:tcW w:type="dxa" w:w="2232"/>
            <w:tcMar>
              <w:top w:w="90" w:type="dxa"/>
              <w:start w:w="90" w:type="dxa"/>
              <w:bottom w:w="90" w:type="dxa"/>
              <w:end w:w="90" w:type="dxa"/>
            </w:tcMar>
            <w:vAlign w:val="top"/>
          </w:tcPr>
          <w:p>
            <w:pPr>
              <w:spacing w:after="0"/>
            </w:pPr>
            <w:r>
              <w:rPr>
                <w:b w:val="0"/>
                <w:color w:val="1E2430"/>
                <w:sz w:val="16"/>
              </w:rPr>
              <w:t>OLTP PostgreSQL</w:t>
            </w:r>
          </w:p>
        </w:tc>
        <w:tc>
          <w:tcPr>
            <w:tcW w:type="dxa" w:w="7416"/>
            <w:tcMar>
              <w:top w:w="90" w:type="dxa"/>
              <w:start w:w="90" w:type="dxa"/>
              <w:bottom w:w="90" w:type="dxa"/>
              <w:end w:w="90" w:type="dxa"/>
            </w:tcMar>
            <w:vAlign w:val="top"/>
          </w:tcPr>
          <w:p>
            <w:pPr>
              <w:spacing w:after="0"/>
            </w:pPr>
            <w:r>
              <w:rPr>
                <w:b w:val="0"/>
                <w:color w:val="1E2430"/>
                <w:sz w:val="16"/>
              </w:rPr>
              <w:t>Les transactions membres, cotisations, paiements, reçus, requêtes et audits sont normalisées et traitées sur le primaire transactionnel.</w:t>
            </w:r>
          </w:p>
        </w:tc>
      </w:tr>
      <w:tr>
        <w:tc>
          <w:tcPr>
            <w:tcW w:type="dxa" w:w="2232"/>
            <w:tcMar>
              <w:top w:w="90" w:type="dxa"/>
              <w:start w:w="90" w:type="dxa"/>
              <w:bottom w:w="90" w:type="dxa"/>
              <w:end w:w="90" w:type="dxa"/>
            </w:tcMar>
            <w:vAlign w:val="top"/>
          </w:tcPr>
          <w:p>
            <w:pPr>
              <w:spacing w:after="0"/>
            </w:pPr>
            <w:r>
              <w:rPr>
                <w:b w:val="0"/>
                <w:color w:val="1E2430"/>
                <w:sz w:val="16"/>
              </w:rPr>
              <w:t>Réplique de lecture</w:t>
            </w:r>
          </w:p>
        </w:tc>
        <w:tc>
          <w:tcPr>
            <w:tcW w:type="dxa" w:w="7416"/>
            <w:tcMar>
              <w:top w:w="90" w:type="dxa"/>
              <w:start w:w="90" w:type="dxa"/>
              <w:bottom w:w="90" w:type="dxa"/>
              <w:end w:w="90" w:type="dxa"/>
            </w:tcMar>
            <w:vAlign w:val="top"/>
          </w:tcPr>
          <w:p>
            <w:pPr>
              <w:spacing w:after="0"/>
            </w:pPr>
            <w:r>
              <w:rPr>
                <w:b w:val="0"/>
                <w:color w:val="1E2430"/>
                <w:sz w:val="16"/>
              </w:rPr>
              <w:t>Les exports massifs, recherches analytiques et alimentations BI utilisent une réplique lorsque le volume ou le SLA le justifie.</w:t>
            </w:r>
          </w:p>
        </w:tc>
      </w:tr>
      <w:tr>
        <w:tc>
          <w:tcPr>
            <w:tcW w:type="dxa" w:w="2232"/>
            <w:tcMar>
              <w:top w:w="90" w:type="dxa"/>
              <w:start w:w="90" w:type="dxa"/>
              <w:bottom w:w="90" w:type="dxa"/>
              <w:end w:w="90" w:type="dxa"/>
            </w:tcMar>
            <w:vAlign w:val="top"/>
          </w:tcPr>
          <w:p>
            <w:pPr>
              <w:spacing w:after="0"/>
            </w:pPr>
            <w:r>
              <w:rPr>
                <w:b w:val="0"/>
                <w:color w:val="1E2430"/>
                <w:sz w:val="16"/>
              </w:rPr>
              <w:t>Schéma reporting</w:t>
            </w:r>
          </w:p>
        </w:tc>
        <w:tc>
          <w:tcPr>
            <w:tcW w:type="dxa" w:w="7416"/>
            <w:tcMar>
              <w:top w:w="90" w:type="dxa"/>
              <w:start w:w="90" w:type="dxa"/>
              <w:bottom w:w="90" w:type="dxa"/>
              <w:end w:w="90" w:type="dxa"/>
            </w:tcMar>
            <w:vAlign w:val="top"/>
          </w:tcPr>
          <w:p>
            <w:pPr>
              <w:spacing w:after="0"/>
            </w:pPr>
            <w:r>
              <w:rPr>
                <w:b w:val="0"/>
                <w:color w:val="1E2430"/>
                <w:sz w:val="16"/>
              </w:rPr>
              <w:t>Les indicateurs certifiés sont matérialisés dans des tables ou vues dédiées avec définition, propriétaire, fraîcheur et règle de recalcul.</w:t>
            </w:r>
          </w:p>
        </w:tc>
      </w:tr>
      <w:tr>
        <w:tc>
          <w:tcPr>
            <w:tcW w:type="dxa" w:w="2232"/>
            <w:tcMar>
              <w:top w:w="90" w:type="dxa"/>
              <w:start w:w="90" w:type="dxa"/>
              <w:bottom w:w="90" w:type="dxa"/>
              <w:end w:w="90" w:type="dxa"/>
            </w:tcMar>
            <w:vAlign w:val="top"/>
          </w:tcPr>
          <w:p>
            <w:pPr>
              <w:spacing w:after="0"/>
            </w:pPr>
            <w:r>
              <w:rPr>
                <w:b w:val="0"/>
                <w:color w:val="1E2430"/>
                <w:sz w:val="16"/>
              </w:rPr>
              <w:t>Data mart PostgreSQL</w:t>
            </w:r>
          </w:p>
        </w:tc>
        <w:tc>
          <w:tcPr>
            <w:tcW w:type="dxa" w:w="7416"/>
            <w:tcMar>
              <w:top w:w="90" w:type="dxa"/>
              <w:start w:w="90" w:type="dxa"/>
              <w:bottom w:w="90" w:type="dxa"/>
              <w:end w:w="90" w:type="dxa"/>
            </w:tcMar>
            <w:vAlign w:val="top"/>
          </w:tcPr>
          <w:p>
            <w:pPr>
              <w:spacing w:after="0"/>
            </w:pPr>
            <w:r>
              <w:rPr>
                <w:b w:val="0"/>
                <w:color w:val="1E2430"/>
                <w:sz w:val="16"/>
              </w:rPr>
              <w:t>Les dimensions temps, membre, groupement, secteur, catégorie et canal permettent l'analyse historique sans écraser les changements.</w:t>
            </w:r>
          </w:p>
        </w:tc>
      </w:tr>
      <w:tr>
        <w:tc>
          <w:tcPr>
            <w:tcW w:type="dxa" w:w="2232"/>
            <w:tcMar>
              <w:top w:w="90" w:type="dxa"/>
              <w:start w:w="90" w:type="dxa"/>
              <w:bottom w:w="90" w:type="dxa"/>
              <w:end w:w="90" w:type="dxa"/>
            </w:tcMar>
            <w:vAlign w:val="top"/>
          </w:tcPr>
          <w:p>
            <w:pPr>
              <w:spacing w:after="0"/>
            </w:pPr>
            <w:r>
              <w:rPr>
                <w:b w:val="0"/>
                <w:color w:val="1E2430"/>
                <w:sz w:val="16"/>
              </w:rPr>
              <w:t>Superset</w:t>
            </w:r>
          </w:p>
        </w:tc>
        <w:tc>
          <w:tcPr>
            <w:tcW w:type="dxa" w:w="7416"/>
            <w:tcMar>
              <w:top w:w="90" w:type="dxa"/>
              <w:start w:w="90" w:type="dxa"/>
              <w:bottom w:w="90" w:type="dxa"/>
              <w:end w:w="90" w:type="dxa"/>
            </w:tcMar>
            <w:vAlign w:val="top"/>
          </w:tcPr>
          <w:p>
            <w:pPr>
              <w:spacing w:after="0"/>
            </w:pPr>
            <w:r>
              <w:rPr>
                <w:b w:val="0"/>
                <w:color w:val="1E2430"/>
                <w:sz w:val="16"/>
              </w:rPr>
              <w:t>Les tableaux de bord analytiques utilisent des jeux de données gouvernés, des rôles, la sécurité au niveau ligne et des filtres contrôlés.</w:t>
            </w:r>
          </w:p>
        </w:tc>
      </w:tr>
      <w:tr>
        <w:tc>
          <w:tcPr>
            <w:tcW w:type="dxa" w:w="2232"/>
            <w:tcMar>
              <w:top w:w="90" w:type="dxa"/>
              <w:start w:w="90" w:type="dxa"/>
              <w:bottom w:w="90" w:type="dxa"/>
              <w:end w:w="90" w:type="dxa"/>
            </w:tcMar>
            <w:vAlign w:val="top"/>
          </w:tcPr>
          <w:p>
            <w:pPr>
              <w:spacing w:after="0"/>
            </w:pPr>
            <w:r>
              <w:rPr>
                <w:b w:val="0"/>
                <w:color w:val="1E2430"/>
                <w:sz w:val="16"/>
              </w:rPr>
              <w:t>Dashboard opérationnel</w:t>
            </w:r>
          </w:p>
        </w:tc>
        <w:tc>
          <w:tcPr>
            <w:tcW w:type="dxa" w:w="7416"/>
            <w:tcMar>
              <w:top w:w="90" w:type="dxa"/>
              <w:start w:w="90" w:type="dxa"/>
              <w:bottom w:w="90" w:type="dxa"/>
              <w:end w:w="90" w:type="dxa"/>
            </w:tcMar>
            <w:vAlign w:val="top"/>
          </w:tcPr>
          <w:p>
            <w:pPr>
              <w:spacing w:after="0"/>
            </w:pPr>
            <w:r>
              <w:rPr>
                <w:b w:val="0"/>
                <w:color w:val="1E2430"/>
                <w:sz w:val="16"/>
              </w:rPr>
              <w:t>Les KPI d'action immédiate restent intégrés à Angular et interrogent des API optimisées, non des requêtes BI libres.</w:t>
            </w:r>
          </w:p>
        </w:tc>
      </w:tr>
      <w:tr>
        <w:tc>
          <w:tcPr>
            <w:tcW w:type="dxa" w:w="2232"/>
            <w:tcMar>
              <w:top w:w="90" w:type="dxa"/>
              <w:start w:w="90" w:type="dxa"/>
              <w:bottom w:w="90" w:type="dxa"/>
              <w:end w:w="90" w:type="dxa"/>
            </w:tcMar>
            <w:vAlign w:val="top"/>
          </w:tcPr>
          <w:p>
            <w:pPr>
              <w:spacing w:after="0"/>
            </w:pPr>
            <w:r>
              <w:rPr>
                <w:b w:val="0"/>
                <w:color w:val="1E2430"/>
                <w:sz w:val="16"/>
              </w:rPr>
              <w:t>Rapports officiels</w:t>
            </w:r>
          </w:p>
        </w:tc>
        <w:tc>
          <w:tcPr>
            <w:tcW w:type="dxa" w:w="7416"/>
            <w:tcMar>
              <w:top w:w="90" w:type="dxa"/>
              <w:start w:w="90" w:type="dxa"/>
              <w:bottom w:w="90" w:type="dxa"/>
              <w:end w:w="90" w:type="dxa"/>
            </w:tcMar>
            <w:vAlign w:val="top"/>
          </w:tcPr>
          <w:p>
            <w:pPr>
              <w:spacing w:after="0"/>
            </w:pPr>
            <w:r>
              <w:rPr>
                <w:b w:val="0"/>
                <w:color w:val="1E2430"/>
                <w:sz w:val="16"/>
              </w:rPr>
              <w:t>Les PDF/Excel normés sont générés par le backend, signés si nécessaire, versionnés et rattachés à la période de clôture.</w:t>
            </w:r>
          </w:p>
        </w:tc>
      </w:tr>
      <w:tr>
        <w:tc>
          <w:tcPr>
            <w:tcW w:type="dxa" w:w="2232"/>
            <w:tcMar>
              <w:top w:w="90" w:type="dxa"/>
              <w:start w:w="90" w:type="dxa"/>
              <w:bottom w:w="90" w:type="dxa"/>
              <w:end w:w="90" w:type="dxa"/>
            </w:tcMar>
            <w:vAlign w:val="top"/>
          </w:tcPr>
          <w:p>
            <w:pPr>
              <w:spacing w:after="0"/>
            </w:pPr>
            <w:r>
              <w:rPr>
                <w:b w:val="0"/>
                <w:color w:val="1E2430"/>
                <w:sz w:val="16"/>
              </w:rPr>
              <w:t>Scoring / IA</w:t>
            </w:r>
          </w:p>
        </w:tc>
        <w:tc>
          <w:tcPr>
            <w:tcW w:type="dxa" w:w="7416"/>
            <w:tcMar>
              <w:top w:w="90" w:type="dxa"/>
              <w:start w:w="90" w:type="dxa"/>
              <w:bottom w:w="90" w:type="dxa"/>
              <w:end w:w="90" w:type="dxa"/>
            </w:tcMar>
            <w:vAlign w:val="top"/>
          </w:tcPr>
          <w:p>
            <w:pPr>
              <w:spacing w:after="0"/>
            </w:pPr>
            <w:r>
              <w:rPr>
                <w:b w:val="0"/>
                <w:color w:val="1E2430"/>
                <w:sz w:val="16"/>
              </w:rPr>
              <w:t>Les scores sont calculés sur données pseudonymisées lorsque possible, versionnés, explicables et soumis à validation humaine.</w:t>
            </w:r>
          </w:p>
        </w:tc>
      </w:tr>
      <w:tr>
        <w:tc>
          <w:tcPr>
            <w:tcW w:type="dxa" w:w="2232"/>
            <w:tcMar>
              <w:top w:w="90" w:type="dxa"/>
              <w:start w:w="90" w:type="dxa"/>
              <w:bottom w:w="90" w:type="dxa"/>
              <w:end w:w="90" w:type="dxa"/>
            </w:tcMar>
            <w:vAlign w:val="top"/>
          </w:tcPr>
          <w:p>
            <w:pPr>
              <w:spacing w:after="0"/>
            </w:pPr>
            <w:r>
              <w:rPr>
                <w:b w:val="0"/>
                <w:color w:val="1E2430"/>
                <w:sz w:val="16"/>
              </w:rPr>
              <w:t>Qualité</w:t>
            </w:r>
          </w:p>
        </w:tc>
        <w:tc>
          <w:tcPr>
            <w:tcW w:type="dxa" w:w="7416"/>
            <w:tcMar>
              <w:top w:w="90" w:type="dxa"/>
              <w:start w:w="90" w:type="dxa"/>
              <w:bottom w:w="90" w:type="dxa"/>
              <w:end w:w="90" w:type="dxa"/>
            </w:tcMar>
            <w:vAlign w:val="top"/>
          </w:tcPr>
          <w:p>
            <w:pPr>
              <w:spacing w:after="0"/>
            </w:pPr>
            <w:r>
              <w:rPr>
                <w:b w:val="0"/>
                <w:color w:val="1E2430"/>
                <w:sz w:val="16"/>
              </w:rPr>
              <w:t>Complétude, unicité, cohérence, fraîcheur et rapprochement disposent de seuils, alertes, responsables et plans de correction.</w:t>
            </w:r>
          </w:p>
        </w:tc>
      </w:tr>
    </w:tbl>
    <w:p/>
    <w:p>
      <w:pPr>
        <w:pStyle w:val="Heading2"/>
      </w:pPr>
      <w:r>
        <w:t>18.7 Échanges asynchrones et résilience</w:t>
      </w:r>
    </w:p>
    <w:p>
      <w:pPr>
        <w:pStyle w:val="ListBullet"/>
      </w:pPr>
      <w:r>
        <w:t>Le pattern Transactional Outbox enregistre dans PostgreSQL la transaction métier et l'événement à publier dans la même transaction ACID.</w:t>
      </w:r>
    </w:p>
    <w:p>
      <w:pPr>
        <w:pStyle w:val="ListBullet"/>
      </w:pPr>
      <w:r>
        <w:t>RabbitMQ utilise des files durables, quorum queues pour les flux critiques, publisher confirms, accusés consommateurs, délais, retries exponentiels et dead-letter queues.</w:t>
      </w:r>
    </w:p>
    <w:p>
      <w:pPr>
        <w:pStyle w:val="ListBullet"/>
      </w:pPr>
      <w:r>
        <w:t>Chaque message comporte un identifiant d'événement, un correlation_id, une version de schéma, un horodatage, une clé d'idempotence et une classification de confidentialité.</w:t>
      </w:r>
    </w:p>
    <w:p>
      <w:pPr>
        <w:pStyle w:val="ListBullet"/>
      </w:pPr>
      <w:r>
        <w:t>Les messages ne transportent que les données nécessaires; les pièces et données sensibles sont référencées par identifiant et relues via une API autorisée.</w:t>
      </w:r>
    </w:p>
    <w:p>
      <w:pPr>
        <w:pStyle w:val="ListBullet"/>
      </w:pPr>
      <w:r>
        <w:t>Les webhooks entrants sont signés, horodatés, protégés contre le rejeu et conservés à l'état brut pour audit avant normalisation.</w:t>
      </w:r>
    </w:p>
    <w:p>
      <w:pPr>
        <w:pStyle w:val="ListBullet"/>
      </w:pPr>
      <w:r>
        <w:t>Un écran d'exploitation permet de visualiser, rejouer ou abandonner un message en erreur avec motif, autorisation et traçabilité.</w:t>
      </w:r>
    </w:p>
    <w:p>
      <w:pPr>
        <w:pStyle w:val="ListBullet"/>
      </w:pPr>
      <w:r>
        <w:t>Une panne d'un fournisseur SMS, e-mail, Mobile Money ou banque ne doit pas bloquer la transaction centrale; elle crée un statut et une reprise contrôlée.</w:t>
      </w:r>
    </w:p>
    <w:p>
      <w:pPr>
        <w:pStyle w:val="Heading2"/>
      </w:pPr>
      <w:r>
        <w:t>18.8 Déploiement, environnements et DevSecOps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304"/>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Environnement</w:t>
            </w:r>
          </w:p>
        </w:tc>
        <w:tc>
          <w:tcPr>
            <w:tcW w:type="dxa" w:w="7344"/>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Finalité et règles</w:t>
            </w:r>
          </w:p>
        </w:tc>
      </w:tr>
      <w:tr>
        <w:tc>
          <w:tcPr>
            <w:tcW w:type="dxa" w:w="2304"/>
            <w:tcMar>
              <w:top w:w="90" w:type="dxa"/>
              <w:start w:w="90" w:type="dxa"/>
              <w:bottom w:w="90" w:type="dxa"/>
              <w:end w:w="90" w:type="dxa"/>
            </w:tcMar>
            <w:vAlign w:val="top"/>
          </w:tcPr>
          <w:p>
            <w:pPr>
              <w:spacing w:after="0"/>
            </w:pPr>
            <w:r>
              <w:rPr>
                <w:b w:val="0"/>
                <w:color w:val="1E2430"/>
                <w:sz w:val="16"/>
              </w:rPr>
              <w:t>Développement</w:t>
            </w:r>
          </w:p>
        </w:tc>
        <w:tc>
          <w:tcPr>
            <w:tcW w:type="dxa" w:w="7344"/>
            <w:tcMar>
              <w:top w:w="90" w:type="dxa"/>
              <w:start w:w="90" w:type="dxa"/>
              <w:bottom w:w="90" w:type="dxa"/>
              <w:end w:w="90" w:type="dxa"/>
            </w:tcMar>
            <w:vAlign w:val="top"/>
          </w:tcPr>
          <w:p>
            <w:pPr>
              <w:spacing w:after="0"/>
            </w:pPr>
            <w:r>
              <w:rPr>
                <w:b w:val="0"/>
                <w:color w:val="1E2430"/>
                <w:sz w:val="16"/>
              </w:rPr>
              <w:t>Données fictives, services locaux conteneurisés, migrations automatiques et secrets non partagés.</w:t>
            </w:r>
          </w:p>
        </w:tc>
      </w:tr>
      <w:tr>
        <w:tc>
          <w:tcPr>
            <w:tcW w:type="dxa" w:w="2304"/>
            <w:tcMar>
              <w:top w:w="90" w:type="dxa"/>
              <w:start w:w="90" w:type="dxa"/>
              <w:bottom w:w="90" w:type="dxa"/>
              <w:end w:w="90" w:type="dxa"/>
            </w:tcMar>
            <w:vAlign w:val="top"/>
          </w:tcPr>
          <w:p>
            <w:pPr>
              <w:spacing w:after="0"/>
            </w:pPr>
            <w:r>
              <w:rPr>
                <w:b w:val="0"/>
                <w:color w:val="1E2430"/>
                <w:sz w:val="16"/>
              </w:rPr>
              <w:t>Intégration / Sandbox</w:t>
            </w:r>
          </w:p>
        </w:tc>
        <w:tc>
          <w:tcPr>
            <w:tcW w:type="dxa" w:w="7344"/>
            <w:tcMar>
              <w:top w:w="90" w:type="dxa"/>
              <w:start w:w="90" w:type="dxa"/>
              <w:bottom w:w="90" w:type="dxa"/>
              <w:end w:w="90" w:type="dxa"/>
            </w:tcMar>
            <w:vAlign w:val="top"/>
          </w:tcPr>
          <w:p>
            <w:pPr>
              <w:spacing w:after="0"/>
            </w:pPr>
            <w:r>
              <w:rPr>
                <w:b w:val="0"/>
                <w:color w:val="1E2430"/>
                <w:sz w:val="16"/>
              </w:rPr>
              <w:t>Tests d'API, contrats, webhooks et fournisseurs simulés; clés et comptes dédiés.</w:t>
            </w:r>
          </w:p>
        </w:tc>
      </w:tr>
      <w:tr>
        <w:tc>
          <w:tcPr>
            <w:tcW w:type="dxa" w:w="2304"/>
            <w:tcMar>
              <w:top w:w="90" w:type="dxa"/>
              <w:start w:w="90" w:type="dxa"/>
              <w:bottom w:w="90" w:type="dxa"/>
              <w:end w:w="90" w:type="dxa"/>
            </w:tcMar>
            <w:vAlign w:val="top"/>
          </w:tcPr>
          <w:p>
            <w:pPr>
              <w:spacing w:after="0"/>
            </w:pPr>
            <w:r>
              <w:rPr>
                <w:b w:val="0"/>
                <w:color w:val="1E2430"/>
                <w:sz w:val="16"/>
              </w:rPr>
              <w:t>Recette CNPM</w:t>
            </w:r>
          </w:p>
        </w:tc>
        <w:tc>
          <w:tcPr>
            <w:tcW w:type="dxa" w:w="7344"/>
            <w:tcMar>
              <w:top w:w="90" w:type="dxa"/>
              <w:start w:w="90" w:type="dxa"/>
              <w:bottom w:w="90" w:type="dxa"/>
              <w:end w:w="90" w:type="dxa"/>
            </w:tcMar>
            <w:vAlign w:val="top"/>
          </w:tcPr>
          <w:p>
            <w:pPr>
              <w:spacing w:after="0"/>
            </w:pPr>
            <w:r>
              <w:rPr>
                <w:b w:val="0"/>
                <w:color w:val="1E2430"/>
                <w:sz w:val="16"/>
              </w:rPr>
              <w:t>Version candidate, données anonymisées ou synthétiques, rôles réels et procès-verbal de recette.</w:t>
            </w:r>
          </w:p>
        </w:tc>
      </w:tr>
      <w:tr>
        <w:tc>
          <w:tcPr>
            <w:tcW w:type="dxa" w:w="2304"/>
            <w:tcMar>
              <w:top w:w="90" w:type="dxa"/>
              <w:start w:w="90" w:type="dxa"/>
              <w:bottom w:w="90" w:type="dxa"/>
              <w:end w:w="90" w:type="dxa"/>
            </w:tcMar>
            <w:vAlign w:val="top"/>
          </w:tcPr>
          <w:p>
            <w:pPr>
              <w:spacing w:after="0"/>
            </w:pPr>
            <w:r>
              <w:rPr>
                <w:b w:val="0"/>
                <w:color w:val="1E2430"/>
                <w:sz w:val="16"/>
              </w:rPr>
              <w:t>Préproduction</w:t>
            </w:r>
          </w:p>
        </w:tc>
        <w:tc>
          <w:tcPr>
            <w:tcW w:type="dxa" w:w="7344"/>
            <w:tcMar>
              <w:top w:w="90" w:type="dxa"/>
              <w:start w:w="90" w:type="dxa"/>
              <w:bottom w:w="90" w:type="dxa"/>
              <w:end w:w="90" w:type="dxa"/>
            </w:tcMar>
            <w:vAlign w:val="top"/>
          </w:tcPr>
          <w:p>
            <w:pPr>
              <w:spacing w:after="0"/>
            </w:pPr>
            <w:r>
              <w:rPr>
                <w:b w:val="0"/>
                <w:color w:val="1E2430"/>
                <w:sz w:val="16"/>
              </w:rPr>
              <w:t>Topologie proche de la production, tests de charge, sécurité, sauvegarde, restauration et répétition du déploiement.</w:t>
            </w:r>
          </w:p>
        </w:tc>
      </w:tr>
      <w:tr>
        <w:tc>
          <w:tcPr>
            <w:tcW w:type="dxa" w:w="2304"/>
            <w:tcMar>
              <w:top w:w="90" w:type="dxa"/>
              <w:start w:w="90" w:type="dxa"/>
              <w:bottom w:w="90" w:type="dxa"/>
              <w:end w:w="90" w:type="dxa"/>
            </w:tcMar>
            <w:vAlign w:val="top"/>
          </w:tcPr>
          <w:p>
            <w:pPr>
              <w:spacing w:after="0"/>
            </w:pPr>
            <w:r>
              <w:rPr>
                <w:b w:val="0"/>
                <w:color w:val="1E2430"/>
                <w:sz w:val="16"/>
              </w:rPr>
              <w:t>Production</w:t>
            </w:r>
          </w:p>
        </w:tc>
        <w:tc>
          <w:tcPr>
            <w:tcW w:type="dxa" w:w="7344"/>
            <w:tcMar>
              <w:top w:w="90" w:type="dxa"/>
              <w:start w:w="90" w:type="dxa"/>
              <w:bottom w:w="90" w:type="dxa"/>
              <w:end w:w="90" w:type="dxa"/>
            </w:tcMar>
            <w:vAlign w:val="top"/>
          </w:tcPr>
          <w:p>
            <w:pPr>
              <w:spacing w:after="0"/>
            </w:pPr>
            <w:r>
              <w:rPr>
                <w:b w:val="0"/>
                <w:color w:val="1E2430"/>
                <w:sz w:val="16"/>
              </w:rPr>
              <w:t>Accès nominatif restreint, double validation, supervision 24/7 selon SLA, sauvegarde, haute disponibilité et journalisation.</w:t>
            </w:r>
          </w:p>
        </w:tc>
      </w:tr>
      <w:tr>
        <w:tc>
          <w:tcPr>
            <w:tcW w:type="dxa" w:w="2304"/>
            <w:tcMar>
              <w:top w:w="90" w:type="dxa"/>
              <w:start w:w="90" w:type="dxa"/>
              <w:bottom w:w="90" w:type="dxa"/>
              <w:end w:w="90" w:type="dxa"/>
            </w:tcMar>
            <w:vAlign w:val="top"/>
          </w:tcPr>
          <w:p>
            <w:pPr>
              <w:spacing w:after="0"/>
            </w:pPr>
            <w:r>
              <w:rPr>
                <w:b w:val="0"/>
                <w:color w:val="1E2430"/>
                <w:sz w:val="16"/>
              </w:rPr>
              <w:t>Secours / PRA</w:t>
            </w:r>
          </w:p>
        </w:tc>
        <w:tc>
          <w:tcPr>
            <w:tcW w:type="dxa" w:w="7344"/>
            <w:tcMar>
              <w:top w:w="90" w:type="dxa"/>
              <w:start w:w="90" w:type="dxa"/>
              <w:bottom w:w="90" w:type="dxa"/>
              <w:end w:w="90" w:type="dxa"/>
            </w:tcMar>
            <w:vAlign w:val="top"/>
          </w:tcPr>
          <w:p>
            <w:pPr>
              <w:spacing w:after="0"/>
            </w:pPr>
            <w:r>
              <w:rPr>
                <w:b w:val="0"/>
                <w:color w:val="1E2430"/>
                <w:sz w:val="16"/>
              </w:rPr>
              <w:t>Capacité de restauration ou de reprise indépendante; procédures, contacts, dépendances et exercices documentés.</w:t>
            </w:r>
          </w:p>
        </w:tc>
      </w:tr>
    </w:tbl>
    <w:p/>
    <w:p>
      <w:pPr>
        <w:pStyle w:val="ListBullet"/>
      </w:pPr>
      <w:r>
        <w:t>La CI/CD exécute formatage, compilation, tests unitaires, tests PostgreSQL par Testcontainers, tests de contrats, SAST, analyse des dépendances, recherche de secrets, génération SBOM, scan d’image et DAST.</w:t>
      </w:r>
    </w:p>
    <w:p>
      <w:pPr>
        <w:pStyle w:val="ListBullet"/>
      </w:pPr>
      <w:r>
        <w:t>Aucune livraison n'est promue si un test critique échoue, si une vulnérabilité critique non dérogée subsiste ou si la migration PostgreSQL n'a pas été testée.</w:t>
      </w:r>
    </w:p>
    <w:p>
      <w:pPr>
        <w:pStyle w:val="ListBullet"/>
      </w:pPr>
      <w:r>
        <w:t>Les artefacts sont immuables et signés; la même image est promue entre environnements avec une configuration externe.</w:t>
      </w:r>
    </w:p>
    <w:p>
      <w:pPr>
        <w:pStyle w:val="ListBullet"/>
      </w:pPr>
      <w:r>
        <w:t>Les déploiements applicatifs sont rolling ou blue/green. Les migrations suivent le principe expand/migrate/contract pour rester compatibles pendant la bascule.</w:t>
      </w:r>
    </w:p>
    <w:p>
      <w:pPr>
        <w:pStyle w:val="ListBullet"/>
      </w:pPr>
      <w:r>
        <w:t>L'infrastructure, les règles réseau, alertes et sauvegardes sont décrites comme code et revues par merge request.</w:t>
      </w:r>
    </w:p>
    <w:p>
      <w:pPr>
        <w:pStyle w:val="ListBullet"/>
      </w:pPr>
      <w:r>
        <w:t>Les accès d'administration passent par VPN ou bastion, avec 2FA, durée limitée, enregistrement des actions et interdiction des comptes partagés.</w:t>
      </w:r>
    </w:p>
    <w:p>
      <w:pPr>
        <w:pStyle w:val="ListBullet"/>
      </w:pPr>
      <w:r>
        <w:t>Les logs applicatifs sont structurés, corrélés et expurgés des mots de passe, jetons, OTP, numéros complets et données financières sensibles.</w:t>
      </w:r>
    </w:p>
    <w:p>
      <w:pPr>
        <w:pStyle w:val="Heading2"/>
      </w:pPr>
      <w:r>
        <w:t>18.9 Critères d'acceptation techniques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1037"/>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ID</w:t>
            </w:r>
          </w:p>
        </w:tc>
        <w:tc>
          <w:tcPr>
            <w:tcW w:type="dxa" w:w="4680"/>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Exigence fonctionnelle</w:t>
            </w:r>
          </w:p>
        </w:tc>
        <w:tc>
          <w:tcPr>
            <w:tcW w:type="dxa" w:w="893"/>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Priorité</w:t>
            </w:r>
          </w:p>
        </w:tc>
        <w:tc>
          <w:tcPr>
            <w:tcW w:type="dxa" w:w="2952"/>
            <w:tcMar>
              <w:top w:w="90" w:type="dxa"/>
              <w:start w:w="90" w:type="dxa"/>
              <w:bottom w:w="90" w:type="dxa"/>
              <w:end w:w="90" w:type="dxa"/>
            </w:tcMar>
            <w:vAlign w:val="center"/>
            <w:tcBorders>
              <w:top w:val="single" w:sz="8" w:space="0" w:color="273481"/>
              <w:bottom w:val="single" w:sz="9" w:space="0" w:color="273481"/>
              <w:start w:val="single" w:sz="3" w:space="0" w:color="E7EAF0"/>
              <w:end w:val="single" w:sz="3" w:space="0" w:color="E7EAF0"/>
            </w:tcBorders>
          </w:tcPr>
          <w:p>
            <w:pPr>
              <w:spacing w:after="0"/>
            </w:pPr>
            <w:r>
              <w:rPr>
                <w:b/>
                <w:color w:val="273481"/>
                <w:sz w:val="16"/>
              </w:rPr>
              <w:t>Critère d'acceptation</w:t>
            </w:r>
          </w:p>
        </w:tc>
      </w:tr>
      <w:tr>
        <w:tc>
          <w:tcPr>
            <w:tcW w:type="dxa" w:w="1037"/>
            <w:tcMar>
              <w:top w:w="90" w:type="dxa"/>
              <w:start w:w="90" w:type="dxa"/>
              <w:bottom w:w="90" w:type="dxa"/>
              <w:end w:w="90" w:type="dxa"/>
            </w:tcMar>
            <w:vAlign w:val="top"/>
          </w:tcPr>
          <w:p>
            <w:pPr>
              <w:spacing w:after="0"/>
            </w:pPr>
            <w:r>
              <w:rPr>
                <w:b w:val="0"/>
                <w:color w:val="1E2430"/>
                <w:sz w:val="15"/>
              </w:rPr>
              <w:t>TEC-001</w:t>
            </w:r>
          </w:p>
        </w:tc>
        <w:tc>
          <w:tcPr>
            <w:tcW w:type="dxa" w:w="4680"/>
            <w:tcMar>
              <w:top w:w="90" w:type="dxa"/>
              <w:start w:w="90" w:type="dxa"/>
              <w:bottom w:w="90" w:type="dxa"/>
              <w:end w:w="90" w:type="dxa"/>
            </w:tcMar>
            <w:vAlign w:val="top"/>
          </w:tcPr>
          <w:p>
            <w:pPr>
              <w:spacing w:after="0"/>
            </w:pPr>
            <w:r>
              <w:rPr>
                <w:b w:val="0"/>
                <w:color w:val="1E2430"/>
                <w:sz w:val="15"/>
              </w:rPr>
              <w:t>Démontrer que PostgreSQL est l'unique source de vérité relationnelle.</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Inventaire des stockages et test de reprise prouvent qu'aucune donnée métier ne dépend uniquement d'un cache ou broker.</w:t>
            </w:r>
          </w:p>
        </w:tc>
      </w:tr>
      <w:tr>
        <w:tc>
          <w:tcPr>
            <w:tcW w:type="dxa" w:w="1037"/>
            <w:tcMar>
              <w:top w:w="90" w:type="dxa"/>
              <w:start w:w="90" w:type="dxa"/>
              <w:bottom w:w="90" w:type="dxa"/>
              <w:end w:w="90" w:type="dxa"/>
            </w:tcMar>
            <w:vAlign w:val="top"/>
          </w:tcPr>
          <w:p>
            <w:pPr>
              <w:spacing w:after="0"/>
            </w:pPr>
            <w:r>
              <w:rPr>
                <w:b w:val="0"/>
                <w:color w:val="1E2430"/>
                <w:sz w:val="15"/>
              </w:rPr>
              <w:t>TEC-002</w:t>
            </w:r>
          </w:p>
        </w:tc>
        <w:tc>
          <w:tcPr>
            <w:tcW w:type="dxa" w:w="4680"/>
            <w:tcMar>
              <w:top w:w="90" w:type="dxa"/>
              <w:start w:w="90" w:type="dxa"/>
              <w:bottom w:w="90" w:type="dxa"/>
              <w:end w:w="90" w:type="dxa"/>
            </w:tcMar>
            <w:vAlign w:val="top"/>
          </w:tcPr>
          <w:p>
            <w:pPr>
              <w:spacing w:after="0"/>
            </w:pPr>
            <w:r>
              <w:rPr>
                <w:b w:val="0"/>
                <w:color w:val="1E2430"/>
                <w:sz w:val="15"/>
              </w:rPr>
              <w:t>Fournir la matrice complète des versions, licences, CVE et fins de support.</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Aucun composant en fin de vie ou sans correctif de sécurité dans la version candidate.</w:t>
            </w:r>
          </w:p>
        </w:tc>
      </w:tr>
      <w:tr>
        <w:tc>
          <w:tcPr>
            <w:tcW w:type="dxa" w:w="1037"/>
            <w:tcMar>
              <w:top w:w="90" w:type="dxa"/>
              <w:start w:w="90" w:type="dxa"/>
              <w:bottom w:w="90" w:type="dxa"/>
              <w:end w:w="90" w:type="dxa"/>
            </w:tcMar>
            <w:vAlign w:val="top"/>
          </w:tcPr>
          <w:p>
            <w:pPr>
              <w:spacing w:after="0"/>
            </w:pPr>
            <w:r>
              <w:rPr>
                <w:b w:val="0"/>
                <w:color w:val="1E2430"/>
                <w:sz w:val="15"/>
              </w:rPr>
              <w:t>TEC-003</w:t>
            </w:r>
          </w:p>
        </w:tc>
        <w:tc>
          <w:tcPr>
            <w:tcW w:type="dxa" w:w="4680"/>
            <w:tcMar>
              <w:top w:w="90" w:type="dxa"/>
              <w:start w:w="90" w:type="dxa"/>
              <w:bottom w:w="90" w:type="dxa"/>
              <w:end w:w="90" w:type="dxa"/>
            </w:tcMar>
            <w:vAlign w:val="top"/>
          </w:tcPr>
          <w:p>
            <w:pPr>
              <w:spacing w:after="0"/>
            </w:pPr>
            <w:r>
              <w:rPr>
                <w:b w:val="0"/>
                <w:color w:val="1E2430"/>
                <w:sz w:val="15"/>
              </w:rPr>
              <w:t>Interdire tout accès direct des applications clientes à PostgreSQL.</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Web et mobile passent exclusivement par les API authentifiées et autorisées.</w:t>
            </w:r>
          </w:p>
        </w:tc>
      </w:tr>
      <w:tr>
        <w:tc>
          <w:tcPr>
            <w:tcW w:type="dxa" w:w="1037"/>
            <w:tcMar>
              <w:top w:w="90" w:type="dxa"/>
              <w:start w:w="90" w:type="dxa"/>
              <w:bottom w:w="90" w:type="dxa"/>
              <w:end w:w="90" w:type="dxa"/>
            </w:tcMar>
            <w:vAlign w:val="top"/>
          </w:tcPr>
          <w:p>
            <w:pPr>
              <w:spacing w:after="0"/>
            </w:pPr>
            <w:r>
              <w:rPr>
                <w:b w:val="0"/>
                <w:color w:val="1E2430"/>
                <w:sz w:val="15"/>
              </w:rPr>
              <w:t>TEC-004</w:t>
            </w:r>
          </w:p>
        </w:tc>
        <w:tc>
          <w:tcPr>
            <w:tcW w:type="dxa" w:w="4680"/>
            <w:tcMar>
              <w:top w:w="90" w:type="dxa"/>
              <w:start w:w="90" w:type="dxa"/>
              <w:bottom w:w="90" w:type="dxa"/>
              <w:end w:w="90" w:type="dxa"/>
            </w:tcMar>
            <w:vAlign w:val="top"/>
          </w:tcPr>
          <w:p>
            <w:pPr>
              <w:spacing w:after="0"/>
            </w:pPr>
            <w:r>
              <w:rPr>
                <w:b w:val="0"/>
                <w:color w:val="1E2430"/>
                <w:sz w:val="15"/>
              </w:rPr>
              <w:t>Reproduire un environnement depuis le code et les artefacts versionnés.</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Installation automatisée sur environnement vierge avec résultat documenté.</w:t>
            </w:r>
          </w:p>
        </w:tc>
      </w:tr>
      <w:tr>
        <w:tc>
          <w:tcPr>
            <w:tcW w:type="dxa" w:w="1037"/>
            <w:tcMar>
              <w:top w:w="90" w:type="dxa"/>
              <w:start w:w="90" w:type="dxa"/>
              <w:bottom w:w="90" w:type="dxa"/>
              <w:end w:w="90" w:type="dxa"/>
            </w:tcMar>
            <w:vAlign w:val="top"/>
          </w:tcPr>
          <w:p>
            <w:pPr>
              <w:spacing w:after="0"/>
            </w:pPr>
            <w:r>
              <w:rPr>
                <w:b w:val="0"/>
                <w:color w:val="1E2430"/>
                <w:sz w:val="15"/>
              </w:rPr>
              <w:t>TEC-005</w:t>
            </w:r>
          </w:p>
        </w:tc>
        <w:tc>
          <w:tcPr>
            <w:tcW w:type="dxa" w:w="4680"/>
            <w:tcMar>
              <w:top w:w="90" w:type="dxa"/>
              <w:start w:w="90" w:type="dxa"/>
              <w:bottom w:w="90" w:type="dxa"/>
              <w:end w:w="90" w:type="dxa"/>
            </w:tcMar>
            <w:vAlign w:val="top"/>
          </w:tcPr>
          <w:p>
            <w:pPr>
              <w:spacing w:after="0"/>
            </w:pPr>
            <w:r>
              <w:rPr>
                <w:b w:val="0"/>
                <w:color w:val="1E2430"/>
                <w:sz w:val="15"/>
              </w:rPr>
              <w:t>Démontrer SSO, 2FA et séparation des rôles.</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Scénarios positifs/négatifs pour administrateur, finance, agent, auditeur et membre.</w:t>
            </w:r>
          </w:p>
        </w:tc>
      </w:tr>
      <w:tr>
        <w:tc>
          <w:tcPr>
            <w:tcW w:type="dxa" w:w="1037"/>
            <w:tcMar>
              <w:top w:w="90" w:type="dxa"/>
              <w:start w:w="90" w:type="dxa"/>
              <w:bottom w:w="90" w:type="dxa"/>
              <w:end w:w="90" w:type="dxa"/>
            </w:tcMar>
            <w:vAlign w:val="top"/>
          </w:tcPr>
          <w:p>
            <w:pPr>
              <w:spacing w:after="0"/>
            </w:pPr>
            <w:r>
              <w:rPr>
                <w:b w:val="0"/>
                <w:color w:val="1E2430"/>
                <w:sz w:val="15"/>
              </w:rPr>
              <w:t>TEC-006</w:t>
            </w:r>
          </w:p>
        </w:tc>
        <w:tc>
          <w:tcPr>
            <w:tcW w:type="dxa" w:w="4680"/>
            <w:tcMar>
              <w:top w:w="90" w:type="dxa"/>
              <w:start w:w="90" w:type="dxa"/>
              <w:bottom w:w="90" w:type="dxa"/>
              <w:end w:w="90" w:type="dxa"/>
            </w:tcMar>
            <w:vAlign w:val="top"/>
          </w:tcPr>
          <w:p>
            <w:pPr>
              <w:spacing w:after="0"/>
            </w:pPr>
            <w:r>
              <w:rPr>
                <w:b w:val="0"/>
                <w:color w:val="1E2430"/>
                <w:sz w:val="15"/>
              </w:rPr>
              <w:t>Restaurer PostgreSQL à un instant choisi.</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RPO/RTO mesurés, contrôles fonctionnels et rapprochement financier après restauration.</w:t>
            </w:r>
          </w:p>
        </w:tc>
      </w:tr>
      <w:tr>
        <w:tc>
          <w:tcPr>
            <w:tcW w:type="dxa" w:w="1037"/>
            <w:tcMar>
              <w:top w:w="90" w:type="dxa"/>
              <w:start w:w="90" w:type="dxa"/>
              <w:bottom w:w="90" w:type="dxa"/>
              <w:end w:w="90" w:type="dxa"/>
            </w:tcMar>
            <w:vAlign w:val="top"/>
          </w:tcPr>
          <w:p>
            <w:pPr>
              <w:spacing w:after="0"/>
            </w:pPr>
            <w:r>
              <w:rPr>
                <w:b w:val="0"/>
                <w:color w:val="1E2430"/>
                <w:sz w:val="15"/>
              </w:rPr>
              <w:t>TEC-007</w:t>
            </w:r>
          </w:p>
        </w:tc>
        <w:tc>
          <w:tcPr>
            <w:tcW w:type="dxa" w:w="4680"/>
            <w:tcMar>
              <w:top w:w="90" w:type="dxa"/>
              <w:start w:w="90" w:type="dxa"/>
              <w:bottom w:w="90" w:type="dxa"/>
              <w:end w:w="90" w:type="dxa"/>
            </w:tcMar>
            <w:vAlign w:val="top"/>
          </w:tcPr>
          <w:p>
            <w:pPr>
              <w:spacing w:after="0"/>
            </w:pPr>
            <w:r>
              <w:rPr>
                <w:b w:val="0"/>
                <w:color w:val="1E2430"/>
                <w:sz w:val="15"/>
              </w:rPr>
              <w:t>Tester la bascule d'un nœud applicatif et de la base.</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Aucune perte de transaction confirmée; reprise dans le SLA approuvé.</w:t>
            </w:r>
          </w:p>
        </w:tc>
      </w:tr>
      <w:tr>
        <w:tc>
          <w:tcPr>
            <w:tcW w:type="dxa" w:w="1037"/>
            <w:tcMar>
              <w:top w:w="90" w:type="dxa"/>
              <w:start w:w="90" w:type="dxa"/>
              <w:bottom w:w="90" w:type="dxa"/>
              <w:end w:w="90" w:type="dxa"/>
            </w:tcMar>
            <w:vAlign w:val="top"/>
          </w:tcPr>
          <w:p>
            <w:pPr>
              <w:spacing w:after="0"/>
            </w:pPr>
            <w:r>
              <w:rPr>
                <w:b w:val="0"/>
                <w:color w:val="1E2430"/>
                <w:sz w:val="15"/>
              </w:rPr>
              <w:t>TEC-008</w:t>
            </w:r>
          </w:p>
        </w:tc>
        <w:tc>
          <w:tcPr>
            <w:tcW w:type="dxa" w:w="4680"/>
            <w:tcMar>
              <w:top w:w="90" w:type="dxa"/>
              <w:start w:w="90" w:type="dxa"/>
              <w:bottom w:w="90" w:type="dxa"/>
              <w:end w:w="90" w:type="dxa"/>
            </w:tcMar>
            <w:vAlign w:val="top"/>
          </w:tcPr>
          <w:p>
            <w:pPr>
              <w:spacing w:after="0"/>
            </w:pPr>
            <w:r>
              <w:rPr>
                <w:b w:val="0"/>
                <w:color w:val="1E2430"/>
                <w:sz w:val="15"/>
              </w:rPr>
              <w:t>Valider les performances et la faible connectivité.</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Les seuils de la section 17.4 sont atteints sur un jeu de données et une charge représentatifs.</w:t>
            </w:r>
          </w:p>
        </w:tc>
      </w:tr>
      <w:tr>
        <w:tc>
          <w:tcPr>
            <w:tcW w:type="dxa" w:w="1037"/>
            <w:tcMar>
              <w:top w:w="90" w:type="dxa"/>
              <w:start w:w="90" w:type="dxa"/>
              <w:bottom w:w="90" w:type="dxa"/>
              <w:end w:w="90" w:type="dxa"/>
            </w:tcMar>
            <w:vAlign w:val="top"/>
          </w:tcPr>
          <w:p>
            <w:pPr>
              <w:spacing w:after="0"/>
            </w:pPr>
            <w:r>
              <w:rPr>
                <w:b w:val="0"/>
                <w:color w:val="1E2430"/>
                <w:sz w:val="15"/>
              </w:rPr>
              <w:t>TEC-009</w:t>
            </w:r>
          </w:p>
        </w:tc>
        <w:tc>
          <w:tcPr>
            <w:tcW w:type="dxa" w:w="4680"/>
            <w:tcMar>
              <w:top w:w="90" w:type="dxa"/>
              <w:start w:w="90" w:type="dxa"/>
              <w:bottom w:w="90" w:type="dxa"/>
              <w:end w:w="90" w:type="dxa"/>
            </w:tcMar>
            <w:vAlign w:val="top"/>
          </w:tcPr>
          <w:p>
            <w:pPr>
              <w:spacing w:after="0"/>
            </w:pPr>
            <w:r>
              <w:rPr>
                <w:b w:val="0"/>
                <w:color w:val="1E2430"/>
                <w:sz w:val="15"/>
              </w:rPr>
              <w:t>Prouver l'idempotence des paiements et webhooks.</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Le même message rejoué plusieurs fois produit un seul effet financier.</w:t>
            </w:r>
          </w:p>
        </w:tc>
      </w:tr>
      <w:tr>
        <w:tc>
          <w:tcPr>
            <w:tcW w:type="dxa" w:w="1037"/>
            <w:tcMar>
              <w:top w:w="90" w:type="dxa"/>
              <w:start w:w="90" w:type="dxa"/>
              <w:bottom w:w="90" w:type="dxa"/>
              <w:end w:w="90" w:type="dxa"/>
            </w:tcMar>
            <w:vAlign w:val="top"/>
          </w:tcPr>
          <w:p>
            <w:pPr>
              <w:spacing w:after="0"/>
            </w:pPr>
            <w:r>
              <w:rPr>
                <w:b w:val="0"/>
                <w:color w:val="1E2430"/>
                <w:sz w:val="15"/>
              </w:rPr>
              <w:t>TEC-010</w:t>
            </w:r>
          </w:p>
        </w:tc>
        <w:tc>
          <w:tcPr>
            <w:tcW w:type="dxa" w:w="4680"/>
            <w:tcMar>
              <w:top w:w="90" w:type="dxa"/>
              <w:start w:w="90" w:type="dxa"/>
              <w:bottom w:w="90" w:type="dxa"/>
              <w:end w:w="90" w:type="dxa"/>
            </w:tcMar>
            <w:vAlign w:val="top"/>
          </w:tcPr>
          <w:p>
            <w:pPr>
              <w:spacing w:after="0"/>
            </w:pPr>
            <w:r>
              <w:rPr>
                <w:b w:val="0"/>
                <w:color w:val="1E2430"/>
                <w:sz w:val="15"/>
              </w:rPr>
              <w:t>Corréler logs, métriques et traces.</w:t>
            </w:r>
          </w:p>
        </w:tc>
        <w:tc>
          <w:tcPr>
            <w:tcW w:type="dxa" w:w="893"/>
            <w:tcMar>
              <w:top w:w="90" w:type="dxa"/>
              <w:start w:w="90" w:type="dxa"/>
              <w:bottom w:w="90" w:type="dxa"/>
              <w:end w:w="90" w:type="dxa"/>
            </w:tcMar>
            <w:vAlign w:val="top"/>
          </w:tcPr>
          <w:p>
            <w:pPr>
              <w:spacing w:after="0"/>
            </w:pPr>
            <w:r>
              <w:rPr>
                <w:b w:val="0"/>
                <w:color w:val="1E2430"/>
                <w:sz w:val="15"/>
              </w:rPr>
              <w:t>Should</w:t>
            </w:r>
          </w:p>
        </w:tc>
        <w:tc>
          <w:tcPr>
            <w:tcW w:type="dxa" w:w="2952"/>
            <w:tcMar>
              <w:top w:w="90" w:type="dxa"/>
              <w:start w:w="90" w:type="dxa"/>
              <w:bottom w:w="90" w:type="dxa"/>
              <w:end w:w="90" w:type="dxa"/>
            </w:tcMar>
            <w:vAlign w:val="top"/>
          </w:tcPr>
          <w:p>
            <w:pPr>
              <w:spacing w:after="0"/>
            </w:pPr>
            <w:r>
              <w:rPr>
                <w:b w:val="0"/>
                <w:color w:val="1E2430"/>
                <w:sz w:val="15"/>
              </w:rPr>
              <w:t>Une transaction de test est suivie de l'interface jusqu'à PostgreSQL et aux intégrations par correlation_id.</w:t>
            </w:r>
          </w:p>
        </w:tc>
      </w:tr>
      <w:tr>
        <w:tc>
          <w:tcPr>
            <w:tcW w:type="dxa" w:w="1037"/>
            <w:tcMar>
              <w:top w:w="90" w:type="dxa"/>
              <w:start w:w="90" w:type="dxa"/>
              <w:bottom w:w="90" w:type="dxa"/>
              <w:end w:w="90" w:type="dxa"/>
            </w:tcMar>
            <w:vAlign w:val="top"/>
          </w:tcPr>
          <w:p>
            <w:pPr>
              <w:spacing w:after="0"/>
            </w:pPr>
            <w:r>
              <w:rPr>
                <w:b w:val="0"/>
                <w:color w:val="1E2430"/>
                <w:sz w:val="15"/>
              </w:rPr>
              <w:t>TEC-011</w:t>
            </w:r>
          </w:p>
        </w:tc>
        <w:tc>
          <w:tcPr>
            <w:tcW w:type="dxa" w:w="4680"/>
            <w:tcMar>
              <w:top w:w="90" w:type="dxa"/>
              <w:start w:w="90" w:type="dxa"/>
              <w:bottom w:w="90" w:type="dxa"/>
              <w:end w:w="90" w:type="dxa"/>
            </w:tcMar>
            <w:vAlign w:val="top"/>
          </w:tcPr>
          <w:p>
            <w:pPr>
              <w:spacing w:after="0"/>
            </w:pPr>
            <w:r>
              <w:rPr>
                <w:b w:val="0"/>
                <w:color w:val="1E2430"/>
                <w:sz w:val="15"/>
              </w:rPr>
              <w:t>Appliquer les portes de sécurité CI/CD.</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Un secret de test, une vulnérabilité critique et un test échoué bloquent effectivement la promotion.</w:t>
            </w:r>
          </w:p>
        </w:tc>
      </w:tr>
      <w:tr>
        <w:tc>
          <w:tcPr>
            <w:tcW w:type="dxa" w:w="1037"/>
            <w:tcMar>
              <w:top w:w="90" w:type="dxa"/>
              <w:start w:w="90" w:type="dxa"/>
              <w:bottom w:w="90" w:type="dxa"/>
              <w:end w:w="90" w:type="dxa"/>
            </w:tcMar>
            <w:vAlign w:val="top"/>
          </w:tcPr>
          <w:p>
            <w:pPr>
              <w:spacing w:after="0"/>
            </w:pPr>
            <w:r>
              <w:rPr>
                <w:b w:val="0"/>
                <w:color w:val="1E2430"/>
                <w:sz w:val="15"/>
              </w:rPr>
              <w:t>TEC-012</w:t>
            </w:r>
          </w:p>
        </w:tc>
        <w:tc>
          <w:tcPr>
            <w:tcW w:type="dxa" w:w="4680"/>
            <w:tcMar>
              <w:top w:w="90" w:type="dxa"/>
              <w:start w:w="90" w:type="dxa"/>
              <w:bottom w:w="90" w:type="dxa"/>
              <w:end w:w="90" w:type="dxa"/>
            </w:tcMar>
            <w:vAlign w:val="top"/>
          </w:tcPr>
          <w:p>
            <w:pPr>
              <w:spacing w:after="0"/>
            </w:pPr>
            <w:r>
              <w:rPr>
                <w:b w:val="0"/>
                <w:color w:val="1E2430"/>
                <w:sz w:val="15"/>
              </w:rPr>
              <w:t>Exécuter un exercice de réversibilité.</w:t>
            </w:r>
          </w:p>
        </w:tc>
        <w:tc>
          <w:tcPr>
            <w:tcW w:type="dxa" w:w="893"/>
            <w:tcMar>
              <w:top w:w="90" w:type="dxa"/>
              <w:start w:w="90" w:type="dxa"/>
              <w:bottom w:w="90" w:type="dxa"/>
              <w:end w:w="90" w:type="dxa"/>
            </w:tcMar>
            <w:vAlign w:val="top"/>
          </w:tcPr>
          <w:p>
            <w:pPr>
              <w:spacing w:after="0"/>
            </w:pPr>
            <w:r>
              <w:rPr>
                <w:b w:val="0"/>
                <w:color w:val="1E2430"/>
                <w:sz w:val="15"/>
              </w:rPr>
              <w:t>Must</w:t>
            </w:r>
          </w:p>
        </w:tc>
        <w:tc>
          <w:tcPr>
            <w:tcW w:type="dxa" w:w="2952"/>
            <w:tcMar>
              <w:top w:w="90" w:type="dxa"/>
              <w:start w:w="90" w:type="dxa"/>
              <w:bottom w:w="90" w:type="dxa"/>
              <w:end w:w="90" w:type="dxa"/>
            </w:tcMar>
            <w:vAlign w:val="top"/>
          </w:tcPr>
          <w:p>
            <w:pPr>
              <w:spacing w:after="0"/>
            </w:pPr>
            <w:r>
              <w:rPr>
                <w:b w:val="0"/>
                <w:color w:val="1E2430"/>
                <w:sz w:val="15"/>
              </w:rPr>
              <w:t>Code, images, configuration, schéma, migrations, données et pièces sont exportés puis réinstallés sous contrôle CNPM.</w:t>
            </w:r>
          </w:p>
        </w:tc>
      </w:tr>
    </w:tbl>
    <w:p/>
    <w:p>
      <w:pPr>
        <w:pStyle w:val="Heading1"/>
      </w:pPr>
      <w:r>
        <w:t>19. Règles de gestion transverses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10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ID</w:t>
            </w:r>
          </w:p>
        </w:tc>
        <w:tc>
          <w:tcPr>
            <w:tcW w:type="dxa" w:w="8568"/>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Règle de gestion</w:t>
            </w:r>
          </w:p>
        </w:tc>
      </w:tr>
      <w:tr>
        <w:tc>
          <w:tcPr>
            <w:tcW w:type="dxa" w:w="1080"/>
            <w:tcMar>
              <w:top w:w="90" w:type="dxa"/>
              <w:start w:w="90" w:type="dxa"/>
              <w:bottom w:w="90" w:type="dxa"/>
              <w:end w:w="90" w:type="dxa"/>
            </w:tcMar>
            <w:vAlign w:val="top"/>
          </w:tcPr>
          <w:p>
            <w:r>
              <w:rPr>
                <w:sz w:val="17"/>
              </w:rPr>
              <w:t>RG-001</w:t>
            </w:r>
          </w:p>
        </w:tc>
        <w:tc>
          <w:tcPr>
            <w:tcW w:type="dxa" w:w="8568"/>
            <w:tcMar>
              <w:top w:w="90" w:type="dxa"/>
              <w:start w:w="90" w:type="dxa"/>
              <w:bottom w:w="90" w:type="dxa"/>
              <w:end w:w="90" w:type="dxa"/>
            </w:tcMar>
            <w:vAlign w:val="top"/>
          </w:tcPr>
          <w:p>
            <w:r>
              <w:rPr>
                <w:sz w:val="17"/>
              </w:rPr>
              <w:t>Le CNPM est propriétaire exclusif des données et peut en obtenir une copie complète à tout moment.</w:t>
            </w:r>
          </w:p>
        </w:tc>
      </w:tr>
      <w:tr>
        <w:tc>
          <w:tcPr>
            <w:tcW w:type="dxa" w:w="1080"/>
            <w:tcMar>
              <w:top w:w="90" w:type="dxa"/>
              <w:start w:w="90" w:type="dxa"/>
              <w:bottom w:w="90" w:type="dxa"/>
              <w:end w:w="90" w:type="dxa"/>
            </w:tcMar>
            <w:vAlign w:val="top"/>
          </w:tcPr>
          <w:p>
            <w:r>
              <w:rPr>
                <w:sz w:val="17"/>
              </w:rPr>
              <w:t>RG-002</w:t>
            </w:r>
          </w:p>
        </w:tc>
        <w:tc>
          <w:tcPr>
            <w:tcW w:type="dxa" w:w="8568"/>
            <w:tcMar>
              <w:top w:w="90" w:type="dxa"/>
              <w:start w:w="90" w:type="dxa"/>
              <w:bottom w:w="90" w:type="dxa"/>
              <w:end w:w="90" w:type="dxa"/>
            </w:tcMar>
            <w:vAlign w:val="top"/>
          </w:tcPr>
          <w:p>
            <w:r>
              <w:rPr>
                <w:sz w:val="17"/>
              </w:rPr>
              <w:t>Une entreprise ne peut disposer que d’un compte membre actif par personnalité juridique.</w:t>
            </w:r>
          </w:p>
        </w:tc>
      </w:tr>
      <w:tr>
        <w:tc>
          <w:tcPr>
            <w:tcW w:type="dxa" w:w="1080"/>
            <w:tcMar>
              <w:top w:w="90" w:type="dxa"/>
              <w:start w:w="90" w:type="dxa"/>
              <w:bottom w:w="90" w:type="dxa"/>
              <w:end w:w="90" w:type="dxa"/>
            </w:tcMar>
            <w:vAlign w:val="top"/>
          </w:tcPr>
          <w:p>
            <w:r>
              <w:rPr>
                <w:sz w:val="17"/>
              </w:rPr>
              <w:t>RG-003</w:t>
            </w:r>
          </w:p>
        </w:tc>
        <w:tc>
          <w:tcPr>
            <w:tcW w:type="dxa" w:w="8568"/>
            <w:tcMar>
              <w:top w:w="90" w:type="dxa"/>
              <w:start w:w="90" w:type="dxa"/>
              <w:bottom w:w="90" w:type="dxa"/>
              <w:end w:w="90" w:type="dxa"/>
            </w:tcMar>
            <w:vAlign w:val="top"/>
          </w:tcPr>
          <w:p>
            <w:r>
              <w:rPr>
                <w:sz w:val="17"/>
              </w:rPr>
              <w:t>Tout changement de NIF, RCCM, représentant légal ou coordonnées de paiement est une opération sensible.</w:t>
            </w:r>
          </w:p>
        </w:tc>
      </w:tr>
      <w:tr>
        <w:tc>
          <w:tcPr>
            <w:tcW w:type="dxa" w:w="1080"/>
            <w:tcMar>
              <w:top w:w="90" w:type="dxa"/>
              <w:start w:w="90" w:type="dxa"/>
              <w:bottom w:w="90" w:type="dxa"/>
              <w:end w:w="90" w:type="dxa"/>
            </w:tcMar>
            <w:vAlign w:val="top"/>
          </w:tcPr>
          <w:p>
            <w:r>
              <w:rPr>
                <w:sz w:val="17"/>
              </w:rPr>
              <w:t>RG-004</w:t>
            </w:r>
          </w:p>
        </w:tc>
        <w:tc>
          <w:tcPr>
            <w:tcW w:type="dxa" w:w="8568"/>
            <w:tcMar>
              <w:top w:w="90" w:type="dxa"/>
              <w:start w:w="90" w:type="dxa"/>
              <w:bottom w:w="90" w:type="dxa"/>
              <w:end w:w="90" w:type="dxa"/>
            </w:tcMar>
            <w:vAlign w:val="top"/>
          </w:tcPr>
          <w:p>
            <w:r>
              <w:rPr>
                <w:sz w:val="17"/>
              </w:rPr>
              <w:t>Un appel de cotisation publié ne peut être supprimé; il peut être annulé ou ajusté par écriture compensatrice.</w:t>
            </w:r>
          </w:p>
        </w:tc>
      </w:tr>
      <w:tr>
        <w:tc>
          <w:tcPr>
            <w:tcW w:type="dxa" w:w="1080"/>
            <w:tcMar>
              <w:top w:w="90" w:type="dxa"/>
              <w:start w:w="90" w:type="dxa"/>
              <w:bottom w:w="90" w:type="dxa"/>
              <w:end w:w="90" w:type="dxa"/>
            </w:tcMar>
            <w:vAlign w:val="top"/>
          </w:tcPr>
          <w:p>
            <w:r>
              <w:rPr>
                <w:sz w:val="17"/>
              </w:rPr>
              <w:t>RG-005</w:t>
            </w:r>
          </w:p>
        </w:tc>
        <w:tc>
          <w:tcPr>
            <w:tcW w:type="dxa" w:w="8568"/>
            <w:tcMar>
              <w:top w:w="90" w:type="dxa"/>
              <w:start w:w="90" w:type="dxa"/>
              <w:bottom w:w="90" w:type="dxa"/>
              <w:end w:w="90" w:type="dxa"/>
            </w:tcMar>
            <w:vAlign w:val="top"/>
          </w:tcPr>
          <w:p>
            <w:r>
              <w:rPr>
                <w:sz w:val="17"/>
              </w:rPr>
              <w:t>Un reçu officiel n’est émis qu’après confirmation du paiement par le CNPM.</w:t>
            </w:r>
          </w:p>
        </w:tc>
      </w:tr>
      <w:tr>
        <w:tc>
          <w:tcPr>
            <w:tcW w:type="dxa" w:w="1080"/>
            <w:tcMar>
              <w:top w:w="90" w:type="dxa"/>
              <w:start w:w="90" w:type="dxa"/>
              <w:bottom w:w="90" w:type="dxa"/>
              <w:end w:w="90" w:type="dxa"/>
            </w:tcMar>
            <w:vAlign w:val="top"/>
          </w:tcPr>
          <w:p>
            <w:r>
              <w:rPr>
                <w:sz w:val="17"/>
              </w:rPr>
              <w:t>RG-006</w:t>
            </w:r>
          </w:p>
        </w:tc>
        <w:tc>
          <w:tcPr>
            <w:tcW w:type="dxa" w:w="8568"/>
            <w:tcMar>
              <w:top w:w="90" w:type="dxa"/>
              <w:start w:w="90" w:type="dxa"/>
              <w:bottom w:w="90" w:type="dxa"/>
              <w:end w:w="90" w:type="dxa"/>
            </w:tcMar>
            <w:vAlign w:val="top"/>
          </w:tcPr>
          <w:p>
            <w:r>
              <w:rPr>
                <w:sz w:val="17"/>
              </w:rPr>
              <w:t>Toute annulation, remise, remboursement ou correction exige un motif et une autorisation adaptée.</w:t>
            </w:r>
          </w:p>
        </w:tc>
      </w:tr>
      <w:tr>
        <w:tc>
          <w:tcPr>
            <w:tcW w:type="dxa" w:w="1080"/>
            <w:tcMar>
              <w:top w:w="90" w:type="dxa"/>
              <w:start w:w="90" w:type="dxa"/>
              <w:bottom w:w="90" w:type="dxa"/>
              <w:end w:w="90" w:type="dxa"/>
            </w:tcMar>
            <w:vAlign w:val="top"/>
          </w:tcPr>
          <w:p>
            <w:r>
              <w:rPr>
                <w:sz w:val="17"/>
              </w:rPr>
              <w:t>RG-007</w:t>
            </w:r>
          </w:p>
        </w:tc>
        <w:tc>
          <w:tcPr>
            <w:tcW w:type="dxa" w:w="8568"/>
            <w:tcMar>
              <w:top w:w="90" w:type="dxa"/>
              <w:start w:w="90" w:type="dxa"/>
              <w:bottom w:w="90" w:type="dxa"/>
              <w:end w:w="90" w:type="dxa"/>
            </w:tcMar>
            <w:vAlign w:val="top"/>
          </w:tcPr>
          <w:p>
            <w:r>
              <w:rPr>
                <w:sz w:val="17"/>
              </w:rPr>
              <w:t>Une transaction externe est traitée de manière idempotente : un même identifiant ne peut être comptabilisé deux fois.</w:t>
            </w:r>
          </w:p>
        </w:tc>
      </w:tr>
      <w:tr>
        <w:tc>
          <w:tcPr>
            <w:tcW w:type="dxa" w:w="1080"/>
            <w:tcMar>
              <w:top w:w="90" w:type="dxa"/>
              <w:start w:w="90" w:type="dxa"/>
              <w:bottom w:w="90" w:type="dxa"/>
              <w:end w:w="90" w:type="dxa"/>
            </w:tcMar>
            <w:vAlign w:val="top"/>
          </w:tcPr>
          <w:p>
            <w:r>
              <w:rPr>
                <w:sz w:val="17"/>
              </w:rPr>
              <w:t>RG-008</w:t>
            </w:r>
          </w:p>
        </w:tc>
        <w:tc>
          <w:tcPr>
            <w:tcW w:type="dxa" w:w="8568"/>
            <w:tcMar>
              <w:top w:w="90" w:type="dxa"/>
              <w:start w:w="90" w:type="dxa"/>
              <w:bottom w:w="90" w:type="dxa"/>
              <w:end w:w="90" w:type="dxa"/>
            </w:tcMar>
            <w:vAlign w:val="top"/>
          </w:tcPr>
          <w:p>
            <w:r>
              <w:rPr>
                <w:sz w:val="17"/>
              </w:rPr>
              <w:t>Un paiement non rapproché ne réduit pas le solde officiel du membre.</w:t>
            </w:r>
          </w:p>
        </w:tc>
      </w:tr>
      <w:tr>
        <w:tc>
          <w:tcPr>
            <w:tcW w:type="dxa" w:w="1080"/>
            <w:tcMar>
              <w:top w:w="90" w:type="dxa"/>
              <w:start w:w="90" w:type="dxa"/>
              <w:bottom w:w="90" w:type="dxa"/>
              <w:end w:w="90" w:type="dxa"/>
            </w:tcMar>
            <w:vAlign w:val="top"/>
          </w:tcPr>
          <w:p>
            <w:r>
              <w:rPr>
                <w:sz w:val="17"/>
              </w:rPr>
              <w:t>RG-009</w:t>
            </w:r>
          </w:p>
        </w:tc>
        <w:tc>
          <w:tcPr>
            <w:tcW w:type="dxa" w:w="8568"/>
            <w:tcMar>
              <w:top w:w="90" w:type="dxa"/>
              <w:start w:w="90" w:type="dxa"/>
              <w:bottom w:w="90" w:type="dxa"/>
              <w:end w:w="90" w:type="dxa"/>
            </w:tcMar>
            <w:vAlign w:val="top"/>
          </w:tcPr>
          <w:p>
            <w:r>
              <w:rPr>
                <w:sz w:val="17"/>
              </w:rPr>
              <w:t>Les relances sont suspendues lorsqu’un litige bloquant ou une promesse valide est actif.</w:t>
            </w:r>
          </w:p>
        </w:tc>
      </w:tr>
      <w:tr>
        <w:tc>
          <w:tcPr>
            <w:tcW w:type="dxa" w:w="1080"/>
            <w:tcMar>
              <w:top w:w="90" w:type="dxa"/>
              <w:start w:w="90" w:type="dxa"/>
              <w:bottom w:w="90" w:type="dxa"/>
              <w:end w:w="90" w:type="dxa"/>
            </w:tcMar>
            <w:vAlign w:val="top"/>
          </w:tcPr>
          <w:p>
            <w:r>
              <w:rPr>
                <w:sz w:val="17"/>
              </w:rPr>
              <w:t>RG-010</w:t>
            </w:r>
          </w:p>
        </w:tc>
        <w:tc>
          <w:tcPr>
            <w:tcW w:type="dxa" w:w="8568"/>
            <w:tcMar>
              <w:top w:w="90" w:type="dxa"/>
              <w:start w:w="90" w:type="dxa"/>
              <w:bottom w:w="90" w:type="dxa"/>
              <w:end w:w="90" w:type="dxa"/>
            </w:tcMar>
            <w:vAlign w:val="top"/>
          </w:tcPr>
          <w:p>
            <w:r>
              <w:rPr>
                <w:sz w:val="17"/>
              </w:rPr>
              <w:t>Les membres actifs maintenus sur l’ancien système ne génèrent pas de rémunération prestataire si non enrôlés via la solution.</w:t>
            </w:r>
          </w:p>
        </w:tc>
      </w:tr>
      <w:tr>
        <w:tc>
          <w:tcPr>
            <w:tcW w:type="dxa" w:w="1080"/>
            <w:tcMar>
              <w:top w:w="90" w:type="dxa"/>
              <w:start w:w="90" w:type="dxa"/>
              <w:bottom w:w="90" w:type="dxa"/>
              <w:end w:w="90" w:type="dxa"/>
            </w:tcMar>
            <w:vAlign w:val="top"/>
          </w:tcPr>
          <w:p>
            <w:r>
              <w:rPr>
                <w:sz w:val="17"/>
              </w:rPr>
              <w:t>RG-011</w:t>
            </w:r>
          </w:p>
        </w:tc>
        <w:tc>
          <w:tcPr>
            <w:tcW w:type="dxa" w:w="8568"/>
            <w:tcMar>
              <w:top w:w="90" w:type="dxa"/>
              <w:start w:w="90" w:type="dxa"/>
              <w:bottom w:w="90" w:type="dxa"/>
              <w:end w:w="90" w:type="dxa"/>
            </w:tcMar>
            <w:vAlign w:val="top"/>
          </w:tcPr>
          <w:p>
            <w:r>
              <w:rPr>
                <w:sz w:val="17"/>
              </w:rPr>
              <w:t>La prime est calculée sur les encaissements effectivement confirmés et éligibles, non sur les appels émis.</w:t>
            </w:r>
          </w:p>
        </w:tc>
      </w:tr>
      <w:tr>
        <w:tc>
          <w:tcPr>
            <w:tcW w:type="dxa" w:w="1080"/>
            <w:tcMar>
              <w:top w:w="90" w:type="dxa"/>
              <w:start w:w="90" w:type="dxa"/>
              <w:bottom w:w="90" w:type="dxa"/>
              <w:end w:w="90" w:type="dxa"/>
            </w:tcMar>
            <w:vAlign w:val="top"/>
          </w:tcPr>
          <w:p>
            <w:r>
              <w:rPr>
                <w:sz w:val="17"/>
              </w:rPr>
              <w:t>RG-012</w:t>
            </w:r>
          </w:p>
        </w:tc>
        <w:tc>
          <w:tcPr>
            <w:tcW w:type="dxa" w:w="8568"/>
            <w:tcMar>
              <w:top w:w="90" w:type="dxa"/>
              <w:start w:w="90" w:type="dxa"/>
              <w:bottom w:w="90" w:type="dxa"/>
              <w:end w:w="90" w:type="dxa"/>
            </w:tcMar>
            <w:vAlign w:val="top"/>
          </w:tcPr>
          <w:p>
            <w:r>
              <w:rPr>
                <w:sz w:val="17"/>
              </w:rPr>
              <w:t>La clôture mensuelle fige les états financiers; toute correction ultérieure est comptabilisée sur une période ouverte.</w:t>
            </w:r>
          </w:p>
        </w:tc>
      </w:tr>
      <w:tr>
        <w:tc>
          <w:tcPr>
            <w:tcW w:type="dxa" w:w="1080"/>
            <w:tcMar>
              <w:top w:w="90" w:type="dxa"/>
              <w:start w:w="90" w:type="dxa"/>
              <w:bottom w:w="90" w:type="dxa"/>
              <w:end w:w="90" w:type="dxa"/>
            </w:tcMar>
            <w:vAlign w:val="top"/>
          </w:tcPr>
          <w:p>
            <w:r>
              <w:rPr>
                <w:sz w:val="17"/>
              </w:rPr>
              <w:t>RG-013</w:t>
            </w:r>
          </w:p>
        </w:tc>
        <w:tc>
          <w:tcPr>
            <w:tcW w:type="dxa" w:w="8568"/>
            <w:tcMar>
              <w:top w:w="90" w:type="dxa"/>
              <w:start w:w="90" w:type="dxa"/>
              <w:bottom w:w="90" w:type="dxa"/>
              <w:end w:w="90" w:type="dxa"/>
            </w:tcMar>
            <w:vAlign w:val="top"/>
          </w:tcPr>
          <w:p>
            <w:r>
              <w:rPr>
                <w:sz w:val="17"/>
              </w:rPr>
              <w:t>Les exports sensibles sont journalisés et peuvent nécessiter une justification.</w:t>
            </w:r>
          </w:p>
        </w:tc>
      </w:tr>
      <w:tr>
        <w:tc>
          <w:tcPr>
            <w:tcW w:type="dxa" w:w="1080"/>
            <w:tcMar>
              <w:top w:w="90" w:type="dxa"/>
              <w:start w:w="90" w:type="dxa"/>
              <w:bottom w:w="90" w:type="dxa"/>
              <w:end w:w="90" w:type="dxa"/>
            </w:tcMar>
            <w:vAlign w:val="top"/>
          </w:tcPr>
          <w:p>
            <w:r>
              <w:rPr>
                <w:sz w:val="17"/>
              </w:rPr>
              <w:t>RG-014</w:t>
            </w:r>
          </w:p>
        </w:tc>
        <w:tc>
          <w:tcPr>
            <w:tcW w:type="dxa" w:w="8568"/>
            <w:tcMar>
              <w:top w:w="90" w:type="dxa"/>
              <w:start w:w="90" w:type="dxa"/>
              <w:bottom w:w="90" w:type="dxa"/>
              <w:end w:w="90" w:type="dxa"/>
            </w:tcMar>
            <w:vAlign w:val="top"/>
          </w:tcPr>
          <w:p>
            <w:r>
              <w:rPr>
                <w:sz w:val="17"/>
              </w:rPr>
              <w:t>Les comptes inactifs ou expirés sont suspendus automatiquement selon la politique.</w:t>
            </w:r>
          </w:p>
        </w:tc>
      </w:tr>
      <w:tr>
        <w:tc>
          <w:tcPr>
            <w:tcW w:type="dxa" w:w="1080"/>
            <w:tcMar>
              <w:top w:w="90" w:type="dxa"/>
              <w:start w:w="90" w:type="dxa"/>
              <w:bottom w:w="90" w:type="dxa"/>
              <w:end w:w="90" w:type="dxa"/>
            </w:tcMar>
            <w:vAlign w:val="top"/>
          </w:tcPr>
          <w:p>
            <w:r>
              <w:rPr>
                <w:sz w:val="17"/>
              </w:rPr>
              <w:t>RG-015</w:t>
            </w:r>
          </w:p>
        </w:tc>
        <w:tc>
          <w:tcPr>
            <w:tcW w:type="dxa" w:w="8568"/>
            <w:tcMar>
              <w:top w:w="90" w:type="dxa"/>
              <w:start w:w="90" w:type="dxa"/>
              <w:bottom w:w="90" w:type="dxa"/>
              <w:end w:w="90" w:type="dxa"/>
            </w:tcMar>
            <w:vAlign w:val="top"/>
          </w:tcPr>
          <w:p>
            <w:r>
              <w:rPr>
                <w:sz w:val="17"/>
              </w:rPr>
              <w:t>Les pièces expirées déclenchent une alerte et peuvent limiter certains services sans supprimer l’historique.</w:t>
            </w:r>
          </w:p>
        </w:tc>
      </w:tr>
      <w:tr>
        <w:tc>
          <w:tcPr>
            <w:tcW w:type="dxa" w:w="1080"/>
            <w:tcMar>
              <w:top w:w="90" w:type="dxa"/>
              <w:start w:w="90" w:type="dxa"/>
              <w:bottom w:w="90" w:type="dxa"/>
              <w:end w:w="90" w:type="dxa"/>
            </w:tcMar>
            <w:vAlign w:val="top"/>
          </w:tcPr>
          <w:p>
            <w:r>
              <w:rPr>
                <w:sz w:val="17"/>
              </w:rPr>
              <w:t>RG-016</w:t>
            </w:r>
          </w:p>
        </w:tc>
        <w:tc>
          <w:tcPr>
            <w:tcW w:type="dxa" w:w="8568"/>
            <w:tcMar>
              <w:top w:w="90" w:type="dxa"/>
              <w:start w:w="90" w:type="dxa"/>
              <w:bottom w:w="90" w:type="dxa"/>
              <w:end w:w="90" w:type="dxa"/>
            </w:tcMar>
            <w:vAlign w:val="top"/>
          </w:tcPr>
          <w:p>
            <w:r>
              <w:rPr>
                <w:sz w:val="17"/>
              </w:rPr>
              <w:t>Le score analytique assiste la décision mais ne peut, seul, radier, sanctionner ou refuser un membre.</w:t>
            </w:r>
          </w:p>
        </w:tc>
      </w:tr>
      <w:tr>
        <w:tc>
          <w:tcPr>
            <w:tcW w:type="dxa" w:w="1080"/>
            <w:tcMar>
              <w:top w:w="90" w:type="dxa"/>
              <w:start w:w="90" w:type="dxa"/>
              <w:bottom w:w="90" w:type="dxa"/>
              <w:end w:w="90" w:type="dxa"/>
            </w:tcMar>
            <w:vAlign w:val="top"/>
          </w:tcPr>
          <w:p>
            <w:r>
              <w:rPr>
                <w:sz w:val="17"/>
              </w:rPr>
              <w:t>RG-017</w:t>
            </w:r>
          </w:p>
        </w:tc>
        <w:tc>
          <w:tcPr>
            <w:tcW w:type="dxa" w:w="8568"/>
            <w:tcMar>
              <w:top w:w="90" w:type="dxa"/>
              <w:start w:w="90" w:type="dxa"/>
              <w:bottom w:w="90" w:type="dxa"/>
              <w:end w:w="90" w:type="dxa"/>
            </w:tcMar>
            <w:vAlign w:val="top"/>
          </w:tcPr>
          <w:p>
            <w:r>
              <w:rPr>
                <w:sz w:val="17"/>
              </w:rPr>
              <w:t>Chaque KPI décisionnel possède une définition et un propriétaire métier.</w:t>
            </w:r>
          </w:p>
        </w:tc>
      </w:tr>
      <w:tr>
        <w:tc>
          <w:tcPr>
            <w:tcW w:type="dxa" w:w="1080"/>
            <w:tcMar>
              <w:top w:w="90" w:type="dxa"/>
              <w:start w:w="90" w:type="dxa"/>
              <w:bottom w:w="90" w:type="dxa"/>
              <w:end w:w="90" w:type="dxa"/>
            </w:tcMar>
            <w:vAlign w:val="top"/>
          </w:tcPr>
          <w:p>
            <w:r>
              <w:rPr>
                <w:sz w:val="17"/>
              </w:rPr>
              <w:t>RG-018</w:t>
            </w:r>
          </w:p>
        </w:tc>
        <w:tc>
          <w:tcPr>
            <w:tcW w:type="dxa" w:w="8568"/>
            <w:tcMar>
              <w:top w:w="90" w:type="dxa"/>
              <w:start w:w="90" w:type="dxa"/>
              <w:bottom w:w="90" w:type="dxa"/>
              <w:end w:w="90" w:type="dxa"/>
            </w:tcMar>
            <w:vAlign w:val="top"/>
          </w:tcPr>
          <w:p>
            <w:r>
              <w:rPr>
                <w:sz w:val="17"/>
              </w:rPr>
              <w:t>Les données synchronisées hors ligne ne peuvent confirmer une opération financière avant validation centrale.</w:t>
            </w:r>
          </w:p>
        </w:tc>
      </w:tr>
      <w:tr>
        <w:tc>
          <w:tcPr>
            <w:tcW w:type="dxa" w:w="1080"/>
            <w:tcMar>
              <w:top w:w="90" w:type="dxa"/>
              <w:start w:w="90" w:type="dxa"/>
              <w:bottom w:w="90" w:type="dxa"/>
              <w:end w:w="90" w:type="dxa"/>
            </w:tcMar>
            <w:vAlign w:val="top"/>
          </w:tcPr>
          <w:p>
            <w:r>
              <w:rPr>
                <w:sz w:val="17"/>
              </w:rPr>
              <w:t>RG-019</w:t>
            </w:r>
          </w:p>
        </w:tc>
        <w:tc>
          <w:tcPr>
            <w:tcW w:type="dxa" w:w="8568"/>
            <w:tcMar>
              <w:top w:w="90" w:type="dxa"/>
              <w:start w:w="90" w:type="dxa"/>
              <w:bottom w:w="90" w:type="dxa"/>
              <w:end w:w="90" w:type="dxa"/>
            </w:tcMar>
            <w:vAlign w:val="top"/>
          </w:tcPr>
          <w:p>
            <w:r>
              <w:rPr>
                <w:sz w:val="17"/>
              </w:rPr>
              <w:t>La réversibilité doit inclure données, pièces, journaux, modèles, référentiels et documentation.</w:t>
            </w:r>
          </w:p>
        </w:tc>
      </w:tr>
      <w:tr>
        <w:tc>
          <w:tcPr>
            <w:tcW w:type="dxa" w:w="1080"/>
            <w:tcMar>
              <w:top w:w="90" w:type="dxa"/>
              <w:start w:w="90" w:type="dxa"/>
              <w:bottom w:w="90" w:type="dxa"/>
              <w:end w:w="90" w:type="dxa"/>
            </w:tcMar>
            <w:vAlign w:val="top"/>
          </w:tcPr>
          <w:p>
            <w:r>
              <w:rPr>
                <w:sz w:val="17"/>
              </w:rPr>
              <w:t>RG-020</w:t>
            </w:r>
          </w:p>
        </w:tc>
        <w:tc>
          <w:tcPr>
            <w:tcW w:type="dxa" w:w="8568"/>
            <w:tcMar>
              <w:top w:w="90" w:type="dxa"/>
              <w:start w:w="90" w:type="dxa"/>
              <w:bottom w:w="90" w:type="dxa"/>
              <w:end w:w="90" w:type="dxa"/>
            </w:tcMar>
            <w:vAlign w:val="top"/>
          </w:tcPr>
          <w:p>
            <w:r>
              <w:rPr>
                <w:sz w:val="17"/>
              </w:rPr>
              <w:t>Toute modification de la politique de confidentialité ou des consentements est versionnée et horodatée.</w:t>
            </w:r>
          </w:p>
        </w:tc>
      </w:tr>
    </w:tbl>
    <w:p>
      <w:pPr>
        <w:spacing w:after="20"/>
      </w:pPr>
    </w:p>
    <w:p>
      <w:pPr>
        <w:pStyle w:val="Heading1"/>
      </w:pPr>
      <w:r>
        <w:t>20. PoC, déploiement et recette</w:t>
      </w:r>
    </w:p>
    <w:p>
      <w:pPr>
        <w:pStyle w:val="Heading2"/>
      </w:pPr>
      <w:r>
        <w:t>20.1 Périmètre recommandé du PoC</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088"/>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Dimension</w:t>
            </w:r>
          </w:p>
        </w:tc>
        <w:tc>
          <w:tcPr>
            <w:tcW w:type="dxa" w:w="756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Recommandation</w:t>
            </w:r>
          </w:p>
        </w:tc>
      </w:tr>
      <w:tr>
        <w:tc>
          <w:tcPr>
            <w:tcW w:type="dxa" w:w="2088"/>
            <w:tcMar>
              <w:top w:w="90" w:type="dxa"/>
              <w:start w:w="90" w:type="dxa"/>
              <w:bottom w:w="90" w:type="dxa"/>
              <w:end w:w="90" w:type="dxa"/>
            </w:tcMar>
            <w:vAlign w:val="top"/>
          </w:tcPr>
          <w:p>
            <w:r>
              <w:rPr>
                <w:sz w:val="17"/>
              </w:rPr>
              <w:t>Échantillon</w:t>
            </w:r>
          </w:p>
        </w:tc>
        <w:tc>
          <w:tcPr>
            <w:tcW w:type="dxa" w:w="7560"/>
            <w:tcMar>
              <w:top w:w="90" w:type="dxa"/>
              <w:start w:w="90" w:type="dxa"/>
              <w:bottom w:w="90" w:type="dxa"/>
              <w:end w:w="90" w:type="dxa"/>
            </w:tcMar>
            <w:vAlign w:val="top"/>
          </w:tcPr>
          <w:p>
            <w:r>
              <w:rPr>
                <w:sz w:val="17"/>
              </w:rPr>
              <w:t>60 à 120 entreprises couvrant grands, intermédiaires, petits, actifs, dormants et prospects.</w:t>
            </w:r>
          </w:p>
        </w:tc>
      </w:tr>
      <w:tr>
        <w:tc>
          <w:tcPr>
            <w:tcW w:type="dxa" w:w="2088"/>
            <w:tcMar>
              <w:top w:w="90" w:type="dxa"/>
              <w:start w:w="90" w:type="dxa"/>
              <w:bottom w:w="90" w:type="dxa"/>
              <w:end w:w="90" w:type="dxa"/>
            </w:tcMar>
            <w:vAlign w:val="top"/>
          </w:tcPr>
          <w:p>
            <w:r>
              <w:rPr>
                <w:sz w:val="17"/>
              </w:rPr>
              <w:t>Durée</w:t>
            </w:r>
          </w:p>
        </w:tc>
        <w:tc>
          <w:tcPr>
            <w:tcW w:type="dxa" w:w="7560"/>
            <w:tcMar>
              <w:top w:w="90" w:type="dxa"/>
              <w:start w:w="90" w:type="dxa"/>
              <w:bottom w:w="90" w:type="dxa"/>
              <w:end w:w="90" w:type="dxa"/>
            </w:tcMar>
            <w:vAlign w:val="top"/>
          </w:tcPr>
          <w:p>
            <w:r>
              <w:rPr>
                <w:sz w:val="17"/>
              </w:rPr>
              <w:t>8 à 12 semaines, incluant au moins un cycle complet de relance et encaissement.</w:t>
            </w:r>
          </w:p>
        </w:tc>
      </w:tr>
      <w:tr>
        <w:tc>
          <w:tcPr>
            <w:tcW w:type="dxa" w:w="2088"/>
            <w:tcMar>
              <w:top w:w="90" w:type="dxa"/>
              <w:start w:w="90" w:type="dxa"/>
              <w:bottom w:w="90" w:type="dxa"/>
              <w:end w:w="90" w:type="dxa"/>
            </w:tcMar>
            <w:vAlign w:val="top"/>
          </w:tcPr>
          <w:p>
            <w:r>
              <w:rPr>
                <w:sz w:val="17"/>
              </w:rPr>
              <w:t>Canaux</w:t>
            </w:r>
          </w:p>
        </w:tc>
        <w:tc>
          <w:tcPr>
            <w:tcW w:type="dxa" w:w="7560"/>
            <w:tcMar>
              <w:top w:w="90" w:type="dxa"/>
              <w:start w:w="90" w:type="dxa"/>
              <w:bottom w:w="90" w:type="dxa"/>
              <w:end w:w="90" w:type="dxa"/>
            </w:tcMar>
            <w:vAlign w:val="top"/>
          </w:tcPr>
          <w:p>
            <w:r>
              <w:rPr>
                <w:sz w:val="17"/>
              </w:rPr>
              <w:t>Portail web, mobile/PWA, au moins un Mobile Money, virement bancaire, e-mail et SMS.</w:t>
            </w:r>
          </w:p>
        </w:tc>
      </w:tr>
      <w:tr>
        <w:tc>
          <w:tcPr>
            <w:tcW w:type="dxa" w:w="2088"/>
            <w:tcMar>
              <w:top w:w="90" w:type="dxa"/>
              <w:start w:w="90" w:type="dxa"/>
              <w:bottom w:w="90" w:type="dxa"/>
              <w:end w:w="90" w:type="dxa"/>
            </w:tcMar>
            <w:vAlign w:val="top"/>
          </w:tcPr>
          <w:p>
            <w:r>
              <w:rPr>
                <w:sz w:val="17"/>
              </w:rPr>
              <w:t>Fonctions</w:t>
            </w:r>
          </w:p>
        </w:tc>
        <w:tc>
          <w:tcPr>
            <w:tcW w:type="dxa" w:w="7560"/>
            <w:tcMar>
              <w:top w:w="90" w:type="dxa"/>
              <w:start w:w="90" w:type="dxa"/>
              <w:bottom w:w="90" w:type="dxa"/>
              <w:end w:w="90" w:type="dxa"/>
            </w:tcMar>
            <w:vAlign w:val="top"/>
          </w:tcPr>
          <w:p>
            <w:r>
              <w:rPr>
                <w:sz w:val="17"/>
              </w:rPr>
              <w:t>Enrôlement, validation, appel, référence, paiement, rapprochement, reçu, relance, dashboard.</w:t>
            </w:r>
          </w:p>
        </w:tc>
      </w:tr>
      <w:tr>
        <w:tc>
          <w:tcPr>
            <w:tcW w:type="dxa" w:w="2088"/>
            <w:tcMar>
              <w:top w:w="90" w:type="dxa"/>
              <w:start w:w="90" w:type="dxa"/>
              <w:bottom w:w="90" w:type="dxa"/>
              <w:end w:w="90" w:type="dxa"/>
            </w:tcMar>
            <w:vAlign w:val="top"/>
          </w:tcPr>
          <w:p>
            <w:r>
              <w:rPr>
                <w:sz w:val="17"/>
              </w:rPr>
              <w:t>Utilisateurs</w:t>
            </w:r>
          </w:p>
        </w:tc>
        <w:tc>
          <w:tcPr>
            <w:tcW w:type="dxa" w:w="7560"/>
            <w:tcMar>
              <w:top w:w="90" w:type="dxa"/>
              <w:start w:w="90" w:type="dxa"/>
              <w:bottom w:w="90" w:type="dxa"/>
              <w:end w:w="90" w:type="dxa"/>
            </w:tcMar>
            <w:vAlign w:val="top"/>
          </w:tcPr>
          <w:p>
            <w:r>
              <w:rPr>
                <w:sz w:val="17"/>
              </w:rPr>
              <w:t>Finance, agent de recouvrement, service membres, administrateur, auditeur, membres pilotes.</w:t>
            </w:r>
          </w:p>
        </w:tc>
      </w:tr>
      <w:tr>
        <w:tc>
          <w:tcPr>
            <w:tcW w:type="dxa" w:w="2088"/>
            <w:tcMar>
              <w:top w:w="90" w:type="dxa"/>
              <w:start w:w="90" w:type="dxa"/>
              <w:bottom w:w="90" w:type="dxa"/>
              <w:end w:w="90" w:type="dxa"/>
            </w:tcMar>
            <w:vAlign w:val="top"/>
          </w:tcPr>
          <w:p>
            <w:r>
              <w:rPr>
                <w:sz w:val="17"/>
              </w:rPr>
              <w:t>Données</w:t>
            </w:r>
          </w:p>
        </w:tc>
        <w:tc>
          <w:tcPr>
            <w:tcW w:type="dxa" w:w="7560"/>
            <w:tcMar>
              <w:top w:w="90" w:type="dxa"/>
              <w:start w:w="90" w:type="dxa"/>
              <w:bottom w:w="90" w:type="dxa"/>
              <w:end w:w="90" w:type="dxa"/>
            </w:tcMar>
            <w:vAlign w:val="top"/>
          </w:tcPr>
          <w:p>
            <w:r>
              <w:rPr>
                <w:sz w:val="17"/>
              </w:rPr>
              <w:t>Échantillon nettoyé, barème réel, modèles CNPM validés, coordonnées de paiement vérifiées.</w:t>
            </w:r>
          </w:p>
        </w:tc>
      </w:tr>
      <w:tr>
        <w:tc>
          <w:tcPr>
            <w:tcW w:type="dxa" w:w="2088"/>
            <w:tcMar>
              <w:top w:w="90" w:type="dxa"/>
              <w:start w:w="90" w:type="dxa"/>
              <w:bottom w:w="90" w:type="dxa"/>
              <w:end w:w="90" w:type="dxa"/>
            </w:tcMar>
            <w:vAlign w:val="top"/>
          </w:tcPr>
          <w:p>
            <w:r>
              <w:rPr>
                <w:sz w:val="17"/>
              </w:rPr>
              <w:t>Sécurité</w:t>
            </w:r>
          </w:p>
        </w:tc>
        <w:tc>
          <w:tcPr>
            <w:tcW w:type="dxa" w:w="7560"/>
            <w:tcMar>
              <w:top w:w="90" w:type="dxa"/>
              <w:start w:w="90" w:type="dxa"/>
              <w:bottom w:w="90" w:type="dxa"/>
              <w:end w:w="90" w:type="dxa"/>
            </w:tcMar>
            <w:vAlign w:val="top"/>
          </w:tcPr>
          <w:p>
            <w:r>
              <w:rPr>
                <w:sz w:val="17"/>
              </w:rPr>
              <w:t>2FA, rôles, audit, sauvegarde, tests de vulnérabilité et journalisation.</w:t>
            </w:r>
          </w:p>
        </w:tc>
      </w:tr>
      <w:tr>
        <w:tc>
          <w:tcPr>
            <w:tcW w:type="dxa" w:w="2088"/>
            <w:tcMar>
              <w:top w:w="90" w:type="dxa"/>
              <w:start w:w="90" w:type="dxa"/>
              <w:bottom w:w="90" w:type="dxa"/>
              <w:end w:w="90" w:type="dxa"/>
            </w:tcMar>
            <w:vAlign w:val="top"/>
          </w:tcPr>
          <w:p>
            <w:r>
              <w:rPr>
                <w:sz w:val="17"/>
              </w:rPr>
              <w:t>Sortie</w:t>
            </w:r>
          </w:p>
        </w:tc>
        <w:tc>
          <w:tcPr>
            <w:tcW w:type="dxa" w:w="7560"/>
            <w:tcMar>
              <w:top w:w="90" w:type="dxa"/>
              <w:start w:w="90" w:type="dxa"/>
              <w:bottom w:w="90" w:type="dxa"/>
              <w:end w:w="90" w:type="dxa"/>
            </w:tcMar>
            <w:vAlign w:val="top"/>
          </w:tcPr>
          <w:p>
            <w:r>
              <w:rPr>
                <w:sz w:val="17"/>
              </w:rPr>
              <w:t>Rapport de résultats, écarts, plan de correction, décision Go/No-Go Phase 2.</w:t>
            </w:r>
          </w:p>
        </w:tc>
      </w:tr>
    </w:tbl>
    <w:p>
      <w:pPr>
        <w:spacing w:after="20"/>
      </w:pPr>
    </w:p>
    <w:p>
      <w:pPr>
        <w:pStyle w:val="Heading2"/>
      </w:pPr>
      <w:r>
        <w:t>20.2 Indicateurs de succès du PoC</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88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Indicateur</w:t>
            </w:r>
          </w:p>
        </w:tc>
        <w:tc>
          <w:tcPr>
            <w:tcW w:type="dxa" w:w="6768"/>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Cible proposée</w:t>
            </w:r>
          </w:p>
        </w:tc>
      </w:tr>
      <w:tr>
        <w:tc>
          <w:tcPr>
            <w:tcW w:type="dxa" w:w="2880"/>
            <w:tcMar>
              <w:top w:w="90" w:type="dxa"/>
              <w:start w:w="90" w:type="dxa"/>
              <w:bottom w:w="90" w:type="dxa"/>
              <w:end w:w="90" w:type="dxa"/>
            </w:tcMar>
            <w:vAlign w:val="top"/>
          </w:tcPr>
          <w:p>
            <w:r>
              <w:rPr>
                <w:sz w:val="17"/>
              </w:rPr>
              <w:t>Taux d’enrôlement terminé</w:t>
            </w:r>
          </w:p>
        </w:tc>
        <w:tc>
          <w:tcPr>
            <w:tcW w:type="dxa" w:w="6768"/>
            <w:tcMar>
              <w:top w:w="90" w:type="dxa"/>
              <w:start w:w="90" w:type="dxa"/>
              <w:bottom w:w="90" w:type="dxa"/>
              <w:end w:w="90" w:type="dxa"/>
            </w:tcMar>
            <w:vAlign w:val="top"/>
          </w:tcPr>
          <w:p>
            <w:r>
              <w:rPr>
                <w:sz w:val="17"/>
              </w:rPr>
              <w:t>≥ 80 % de l’échantillon contacté et consentant.</w:t>
            </w:r>
          </w:p>
        </w:tc>
      </w:tr>
      <w:tr>
        <w:tc>
          <w:tcPr>
            <w:tcW w:type="dxa" w:w="2880"/>
            <w:tcMar>
              <w:top w:w="90" w:type="dxa"/>
              <w:start w:w="90" w:type="dxa"/>
              <w:bottom w:w="90" w:type="dxa"/>
              <w:end w:w="90" w:type="dxa"/>
            </w:tcMar>
            <w:vAlign w:val="top"/>
          </w:tcPr>
          <w:p>
            <w:r>
              <w:rPr>
                <w:sz w:val="17"/>
              </w:rPr>
              <w:t>Taux de paiement numérique</w:t>
            </w:r>
          </w:p>
        </w:tc>
        <w:tc>
          <w:tcPr>
            <w:tcW w:type="dxa" w:w="6768"/>
            <w:tcMar>
              <w:top w:w="90" w:type="dxa"/>
              <w:start w:w="90" w:type="dxa"/>
              <w:bottom w:w="90" w:type="dxa"/>
              <w:end w:w="90" w:type="dxa"/>
            </w:tcMar>
            <w:vAlign w:val="top"/>
          </w:tcPr>
          <w:p>
            <w:r>
              <w:rPr>
                <w:sz w:val="17"/>
              </w:rPr>
              <w:t>≥ 60 % des paiements du PoC via les canaux intégrés.</w:t>
            </w:r>
          </w:p>
        </w:tc>
      </w:tr>
      <w:tr>
        <w:tc>
          <w:tcPr>
            <w:tcW w:type="dxa" w:w="2880"/>
            <w:tcMar>
              <w:top w:w="90" w:type="dxa"/>
              <w:start w:w="90" w:type="dxa"/>
              <w:bottom w:w="90" w:type="dxa"/>
              <w:end w:w="90" w:type="dxa"/>
            </w:tcMar>
            <w:vAlign w:val="top"/>
          </w:tcPr>
          <w:p>
            <w:r>
              <w:rPr>
                <w:sz w:val="17"/>
              </w:rPr>
              <w:t>Rapprochement automatique</w:t>
            </w:r>
          </w:p>
        </w:tc>
        <w:tc>
          <w:tcPr>
            <w:tcW w:type="dxa" w:w="6768"/>
            <w:tcMar>
              <w:top w:w="90" w:type="dxa"/>
              <w:start w:w="90" w:type="dxa"/>
              <w:bottom w:w="90" w:type="dxa"/>
              <w:end w:w="90" w:type="dxa"/>
            </w:tcMar>
            <w:vAlign w:val="top"/>
          </w:tcPr>
          <w:p>
            <w:r>
              <w:rPr>
                <w:sz w:val="17"/>
              </w:rPr>
              <w:t>≥ 90 % des paiements avec référence correcte.</w:t>
            </w:r>
          </w:p>
        </w:tc>
      </w:tr>
      <w:tr>
        <w:tc>
          <w:tcPr>
            <w:tcW w:type="dxa" w:w="2880"/>
            <w:tcMar>
              <w:top w:w="90" w:type="dxa"/>
              <w:start w:w="90" w:type="dxa"/>
              <w:bottom w:w="90" w:type="dxa"/>
              <w:end w:w="90" w:type="dxa"/>
            </w:tcMar>
            <w:vAlign w:val="top"/>
          </w:tcPr>
          <w:p>
            <w:r>
              <w:rPr>
                <w:sz w:val="17"/>
              </w:rPr>
              <w:t>Délai de reçu</w:t>
            </w:r>
          </w:p>
        </w:tc>
        <w:tc>
          <w:tcPr>
            <w:tcW w:type="dxa" w:w="6768"/>
            <w:tcMar>
              <w:top w:w="90" w:type="dxa"/>
              <w:start w:w="90" w:type="dxa"/>
              <w:bottom w:w="90" w:type="dxa"/>
              <w:end w:w="90" w:type="dxa"/>
            </w:tcMar>
            <w:vAlign w:val="top"/>
          </w:tcPr>
          <w:p>
            <w:r>
              <w:rPr>
                <w:sz w:val="17"/>
              </w:rPr>
              <w:t>&lt; 5 minutes après confirmation automatique; &lt; 1 jour ouvré si contrôle manuel.</w:t>
            </w:r>
          </w:p>
        </w:tc>
      </w:tr>
      <w:tr>
        <w:tc>
          <w:tcPr>
            <w:tcW w:type="dxa" w:w="2880"/>
            <w:tcMar>
              <w:top w:w="90" w:type="dxa"/>
              <w:start w:w="90" w:type="dxa"/>
              <w:bottom w:w="90" w:type="dxa"/>
              <w:end w:w="90" w:type="dxa"/>
            </w:tcMar>
            <w:vAlign w:val="top"/>
          </w:tcPr>
          <w:p>
            <w:r>
              <w:rPr>
                <w:sz w:val="17"/>
              </w:rPr>
              <w:t>Disponibilité</w:t>
            </w:r>
          </w:p>
        </w:tc>
        <w:tc>
          <w:tcPr>
            <w:tcW w:type="dxa" w:w="6768"/>
            <w:tcMar>
              <w:top w:w="90" w:type="dxa"/>
              <w:start w:w="90" w:type="dxa"/>
              <w:bottom w:w="90" w:type="dxa"/>
              <w:end w:w="90" w:type="dxa"/>
            </w:tcMar>
            <w:vAlign w:val="top"/>
          </w:tcPr>
          <w:p>
            <w:r>
              <w:rPr>
                <w:sz w:val="17"/>
              </w:rPr>
              <w:t>≥ 99,5 % sur la période du PoC.</w:t>
            </w:r>
          </w:p>
        </w:tc>
      </w:tr>
      <w:tr>
        <w:tc>
          <w:tcPr>
            <w:tcW w:type="dxa" w:w="2880"/>
            <w:tcMar>
              <w:top w:w="90" w:type="dxa"/>
              <w:start w:w="90" w:type="dxa"/>
              <w:bottom w:w="90" w:type="dxa"/>
              <w:end w:w="90" w:type="dxa"/>
            </w:tcMar>
            <w:vAlign w:val="top"/>
          </w:tcPr>
          <w:p>
            <w:r>
              <w:rPr>
                <w:sz w:val="17"/>
              </w:rPr>
              <w:t>Traçabilité</w:t>
            </w:r>
          </w:p>
        </w:tc>
        <w:tc>
          <w:tcPr>
            <w:tcW w:type="dxa" w:w="6768"/>
            <w:tcMar>
              <w:top w:w="90" w:type="dxa"/>
              <w:start w:w="90" w:type="dxa"/>
              <w:bottom w:w="90" w:type="dxa"/>
              <w:end w:w="90" w:type="dxa"/>
            </w:tcMar>
            <w:vAlign w:val="top"/>
          </w:tcPr>
          <w:p>
            <w:r>
              <w:rPr>
                <w:sz w:val="17"/>
              </w:rPr>
              <w:t>100 % des opérations sensibles présentes dans le journal d’audit.</w:t>
            </w:r>
          </w:p>
        </w:tc>
      </w:tr>
      <w:tr>
        <w:tc>
          <w:tcPr>
            <w:tcW w:type="dxa" w:w="2880"/>
            <w:tcMar>
              <w:top w:w="90" w:type="dxa"/>
              <w:start w:w="90" w:type="dxa"/>
              <w:bottom w:w="90" w:type="dxa"/>
              <w:end w:w="90" w:type="dxa"/>
            </w:tcMar>
            <w:vAlign w:val="top"/>
          </w:tcPr>
          <w:p>
            <w:r>
              <w:rPr>
                <w:sz w:val="17"/>
              </w:rPr>
              <w:t>Satisfaction pilote</w:t>
            </w:r>
          </w:p>
        </w:tc>
        <w:tc>
          <w:tcPr>
            <w:tcW w:type="dxa" w:w="6768"/>
            <w:tcMar>
              <w:top w:w="90" w:type="dxa"/>
              <w:start w:w="90" w:type="dxa"/>
              <w:bottom w:w="90" w:type="dxa"/>
              <w:end w:w="90" w:type="dxa"/>
            </w:tcMar>
            <w:vAlign w:val="top"/>
          </w:tcPr>
          <w:p>
            <w:r>
              <w:rPr>
                <w:sz w:val="17"/>
              </w:rPr>
              <w:t>≥ 80 % de satisfaction globale.</w:t>
            </w:r>
          </w:p>
        </w:tc>
      </w:tr>
      <w:tr>
        <w:tc>
          <w:tcPr>
            <w:tcW w:type="dxa" w:w="2880"/>
            <w:tcMar>
              <w:top w:w="90" w:type="dxa"/>
              <w:start w:w="90" w:type="dxa"/>
              <w:bottom w:w="90" w:type="dxa"/>
              <w:end w:w="90" w:type="dxa"/>
            </w:tcMar>
            <w:vAlign w:val="top"/>
          </w:tcPr>
          <w:p>
            <w:r>
              <w:rPr>
                <w:sz w:val="17"/>
              </w:rPr>
              <w:t>Anomalies critiques</w:t>
            </w:r>
          </w:p>
        </w:tc>
        <w:tc>
          <w:tcPr>
            <w:tcW w:type="dxa" w:w="6768"/>
            <w:tcMar>
              <w:top w:w="90" w:type="dxa"/>
              <w:start w:w="90" w:type="dxa"/>
              <w:bottom w:w="90" w:type="dxa"/>
              <w:end w:w="90" w:type="dxa"/>
            </w:tcMar>
            <w:vAlign w:val="top"/>
          </w:tcPr>
          <w:p>
            <w:r>
              <w:rPr>
                <w:sz w:val="17"/>
              </w:rPr>
              <w:t>0 anomalie critique non corrigée avant décision de généralisation.</w:t>
            </w:r>
          </w:p>
        </w:tc>
      </w:tr>
      <w:tr>
        <w:tc>
          <w:tcPr>
            <w:tcW w:type="dxa" w:w="2880"/>
            <w:tcMar>
              <w:top w:w="90" w:type="dxa"/>
              <w:start w:w="90" w:type="dxa"/>
              <w:bottom w:w="90" w:type="dxa"/>
              <w:end w:w="90" w:type="dxa"/>
            </w:tcMar>
            <w:vAlign w:val="top"/>
          </w:tcPr>
          <w:p>
            <w:r>
              <w:rPr>
                <w:sz w:val="17"/>
              </w:rPr>
              <w:t>Réversibilité</w:t>
            </w:r>
          </w:p>
        </w:tc>
        <w:tc>
          <w:tcPr>
            <w:tcW w:type="dxa" w:w="6768"/>
            <w:tcMar>
              <w:top w:w="90" w:type="dxa"/>
              <w:start w:w="90" w:type="dxa"/>
              <w:bottom w:w="90" w:type="dxa"/>
              <w:end w:w="90" w:type="dxa"/>
            </w:tcMar>
            <w:vAlign w:val="top"/>
          </w:tcPr>
          <w:p>
            <w:r>
              <w:rPr>
                <w:sz w:val="17"/>
              </w:rPr>
              <w:t>Export complet testé et réimportable dans un environnement de contrôle.</w:t>
            </w:r>
          </w:p>
        </w:tc>
      </w:tr>
    </w:tbl>
    <w:p>
      <w:pPr>
        <w:spacing w:after="20"/>
      </w:pPr>
    </w:p>
    <w:p>
      <w:pPr>
        <w:pStyle w:val="Heading2"/>
      </w:pPr>
      <w:r>
        <w:t>20.3 Stratégie de déploiement</w:t>
      </w:r>
    </w:p>
    <w:p>
      <w:pPr>
        <w:pStyle w:val="ListNumber"/>
      </w:pPr>
      <w:r>
        <w:t>Cadrage, gouvernance, ateliers métier, validation des règles et dictionnaire des données.</w:t>
      </w:r>
    </w:p>
    <w:p>
      <w:pPr>
        <w:pStyle w:val="ListNumber"/>
      </w:pPr>
      <w:r>
        <w:t>Conception UX/UI et prototypage des parcours prioritaires.</w:t>
      </w:r>
    </w:p>
    <w:p>
      <w:pPr>
        <w:pStyle w:val="ListNumber"/>
      </w:pPr>
      <w:r>
        <w:t>Configuration, développement, intégrations et tests techniques.</w:t>
      </w:r>
    </w:p>
    <w:p>
      <w:pPr>
        <w:pStyle w:val="ListNumber"/>
      </w:pPr>
      <w:r>
        <w:t>Nettoyage, dédoublonnage et migration pilote.</w:t>
      </w:r>
    </w:p>
    <w:p>
      <w:pPr>
        <w:pStyle w:val="ListNumber"/>
      </w:pPr>
      <w:r>
        <w:t>Formation des administrateurs, agents et référents de groupement.</w:t>
      </w:r>
    </w:p>
    <w:p>
      <w:pPr>
        <w:pStyle w:val="ListNumber"/>
      </w:pPr>
      <w:r>
        <w:t>PoC avec support renforcé et comité de suivi hebdomadaire.</w:t>
      </w:r>
    </w:p>
    <w:p>
      <w:pPr>
        <w:pStyle w:val="ListNumber"/>
      </w:pPr>
      <w:r>
        <w:t>Recette formelle, corrections, homologation sécurité et décision Go/No-Go.</w:t>
      </w:r>
    </w:p>
    <w:p>
      <w:pPr>
        <w:pStyle w:val="ListNumber"/>
      </w:pPr>
      <w:r>
        <w:t>Déploiement progressif par segment/groupement, puis généralisation.</w:t>
      </w:r>
    </w:p>
    <w:p>
      <w:pPr>
        <w:pStyle w:val="ListNumber"/>
      </w:pPr>
      <w:r>
        <w:t>Hypercare, transfert de compétences, mesure des bénéfices et optimisation continue.</w:t>
      </w:r>
    </w:p>
    <w:p>
      <w:pPr>
        <w:pStyle w:val="Heading2"/>
      </w:pPr>
      <w:r>
        <w:t>20.4 Recette fonctionnelle</w:t>
      </w:r>
    </w:p>
    <w:p>
      <w:pPr>
        <w:pStyle w:val="ListBullet"/>
      </w:pPr>
      <w:r>
        <w:t>Chaque exigence Must possède au moins un cas de test positif et un cas négatif.</w:t>
      </w:r>
    </w:p>
    <w:p>
      <w:pPr>
        <w:pStyle w:val="ListBullet"/>
      </w:pPr>
      <w:r>
        <w:t>Les cas de test utilisent des données réalistes mais anonymisées.</w:t>
      </w:r>
    </w:p>
    <w:p>
      <w:pPr>
        <w:pStyle w:val="ListBullet"/>
      </w:pPr>
      <w:r>
        <w:t>La recette couvre web, mobile, faible connectivité, intégrations, rôles et audit.</w:t>
      </w:r>
    </w:p>
    <w:p>
      <w:pPr>
        <w:pStyle w:val="ListBullet"/>
      </w:pPr>
      <w:r>
        <w:t>Les anomalies sont classées bloquante, critique, majeure, mineure et cosmétique.</w:t>
      </w:r>
    </w:p>
    <w:p>
      <w:pPr>
        <w:pStyle w:val="ListBullet"/>
      </w:pPr>
      <w:r>
        <w:t>Aucun Go-Live avec anomalie bloquante ou critique ouverte.</w:t>
      </w:r>
    </w:p>
    <w:p>
      <w:pPr>
        <w:pStyle w:val="ListBullet"/>
      </w:pPr>
      <w:r>
        <w:t>Le PV de recette précise couverture, résultats, réserves, responsables et délais.</w:t>
      </w:r>
    </w:p>
    <w:p>
      <w:pPr>
        <w:pStyle w:val="Heading2"/>
      </w:pPr>
      <w:r>
        <w:t>20.5 Formation et conduite du changement</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304"/>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Public</w:t>
            </w:r>
          </w:p>
        </w:tc>
        <w:tc>
          <w:tcPr>
            <w:tcW w:type="dxa" w:w="7344"/>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Dispositif</w:t>
            </w:r>
          </w:p>
        </w:tc>
      </w:tr>
      <w:tr>
        <w:tc>
          <w:tcPr>
            <w:tcW w:type="dxa" w:w="2304"/>
            <w:tcMar>
              <w:top w:w="90" w:type="dxa"/>
              <w:start w:w="90" w:type="dxa"/>
              <w:bottom w:w="90" w:type="dxa"/>
              <w:end w:w="90" w:type="dxa"/>
            </w:tcMar>
            <w:vAlign w:val="top"/>
          </w:tcPr>
          <w:p>
            <w:r>
              <w:rPr>
                <w:sz w:val="17"/>
              </w:rPr>
              <w:t>Administrateurs</w:t>
            </w:r>
          </w:p>
        </w:tc>
        <w:tc>
          <w:tcPr>
            <w:tcW w:type="dxa" w:w="7344"/>
            <w:tcMar>
              <w:top w:w="90" w:type="dxa"/>
              <w:start w:w="90" w:type="dxa"/>
              <w:bottom w:w="90" w:type="dxa"/>
              <w:end w:w="90" w:type="dxa"/>
            </w:tcMar>
            <w:vAlign w:val="top"/>
          </w:tcPr>
          <w:p>
            <w:r>
              <w:rPr>
                <w:sz w:val="17"/>
              </w:rPr>
              <w:t>Formation avancée, paramétrage, sécurité, supervision, manuel technique.</w:t>
            </w:r>
          </w:p>
        </w:tc>
      </w:tr>
      <w:tr>
        <w:tc>
          <w:tcPr>
            <w:tcW w:type="dxa" w:w="2304"/>
            <w:tcMar>
              <w:top w:w="90" w:type="dxa"/>
              <w:start w:w="90" w:type="dxa"/>
              <w:bottom w:w="90" w:type="dxa"/>
              <w:end w:w="90" w:type="dxa"/>
            </w:tcMar>
            <w:vAlign w:val="top"/>
          </w:tcPr>
          <w:p>
            <w:r>
              <w:rPr>
                <w:sz w:val="17"/>
              </w:rPr>
              <w:t>Finance</w:t>
            </w:r>
          </w:p>
        </w:tc>
        <w:tc>
          <w:tcPr>
            <w:tcW w:type="dxa" w:w="7344"/>
            <w:tcMar>
              <w:top w:w="90" w:type="dxa"/>
              <w:start w:w="90" w:type="dxa"/>
              <w:bottom w:w="90" w:type="dxa"/>
              <w:end w:w="90" w:type="dxa"/>
            </w:tcMar>
            <w:vAlign w:val="top"/>
          </w:tcPr>
          <w:p>
            <w:r>
              <w:rPr>
                <w:sz w:val="17"/>
              </w:rPr>
              <w:t>Ateliers pratiques sur appels, paiements, rapprochement, reçus, clôture et rapports.</w:t>
            </w:r>
          </w:p>
        </w:tc>
      </w:tr>
      <w:tr>
        <w:tc>
          <w:tcPr>
            <w:tcW w:type="dxa" w:w="2304"/>
            <w:tcMar>
              <w:top w:w="90" w:type="dxa"/>
              <w:start w:w="90" w:type="dxa"/>
              <w:bottom w:w="90" w:type="dxa"/>
              <w:end w:w="90" w:type="dxa"/>
            </w:tcMar>
            <w:vAlign w:val="top"/>
          </w:tcPr>
          <w:p>
            <w:r>
              <w:rPr>
                <w:sz w:val="17"/>
              </w:rPr>
              <w:t>Recouvrement</w:t>
            </w:r>
          </w:p>
        </w:tc>
        <w:tc>
          <w:tcPr>
            <w:tcW w:type="dxa" w:w="7344"/>
            <w:tcMar>
              <w:top w:w="90" w:type="dxa"/>
              <w:start w:w="90" w:type="dxa"/>
              <w:bottom w:w="90" w:type="dxa"/>
              <w:end w:w="90" w:type="dxa"/>
            </w:tcMar>
            <w:vAlign w:val="top"/>
          </w:tcPr>
          <w:p>
            <w:r>
              <w:rPr>
                <w:sz w:val="17"/>
              </w:rPr>
              <w:t>Application terrain, scripts, campagnes, promesses, priorisation, bonnes pratiques.</w:t>
            </w:r>
          </w:p>
        </w:tc>
      </w:tr>
      <w:tr>
        <w:tc>
          <w:tcPr>
            <w:tcW w:type="dxa" w:w="2304"/>
            <w:tcMar>
              <w:top w:w="90" w:type="dxa"/>
              <w:start w:w="90" w:type="dxa"/>
              <w:bottom w:w="90" w:type="dxa"/>
              <w:end w:w="90" w:type="dxa"/>
            </w:tcMar>
            <w:vAlign w:val="top"/>
          </w:tcPr>
          <w:p>
            <w:r>
              <w:rPr>
                <w:sz w:val="17"/>
              </w:rPr>
              <w:t>Service membres</w:t>
            </w:r>
          </w:p>
        </w:tc>
        <w:tc>
          <w:tcPr>
            <w:tcW w:type="dxa" w:w="7344"/>
            <w:tcMar>
              <w:top w:w="90" w:type="dxa"/>
              <w:start w:w="90" w:type="dxa"/>
              <w:bottom w:w="90" w:type="dxa"/>
              <w:end w:w="90" w:type="dxa"/>
            </w:tcMar>
            <w:vAlign w:val="top"/>
          </w:tcPr>
          <w:p>
            <w:r>
              <w:rPr>
                <w:sz w:val="17"/>
              </w:rPr>
              <w:t>Enrôlement, validation, dossier 360°, demandes, pièces et communication.</w:t>
            </w:r>
          </w:p>
        </w:tc>
      </w:tr>
      <w:tr>
        <w:tc>
          <w:tcPr>
            <w:tcW w:type="dxa" w:w="2304"/>
            <w:tcMar>
              <w:top w:w="90" w:type="dxa"/>
              <w:start w:w="90" w:type="dxa"/>
              <w:bottom w:w="90" w:type="dxa"/>
              <w:end w:w="90" w:type="dxa"/>
            </w:tcMar>
            <w:vAlign w:val="top"/>
          </w:tcPr>
          <w:p>
            <w:r>
              <w:rPr>
                <w:sz w:val="17"/>
              </w:rPr>
              <w:t>Groupements</w:t>
            </w:r>
          </w:p>
        </w:tc>
        <w:tc>
          <w:tcPr>
            <w:tcW w:type="dxa" w:w="7344"/>
            <w:tcMar>
              <w:top w:w="90" w:type="dxa"/>
              <w:start w:w="90" w:type="dxa"/>
              <w:bottom w:w="90" w:type="dxa"/>
              <w:end w:w="90" w:type="dxa"/>
            </w:tcMar>
            <w:vAlign w:val="top"/>
          </w:tcPr>
          <w:p>
            <w:r>
              <w:rPr>
                <w:sz w:val="17"/>
              </w:rPr>
              <w:t>Parcours simplifié, enrôlement, suivi de portefeuille et indicateurs.</w:t>
            </w:r>
          </w:p>
        </w:tc>
      </w:tr>
      <w:tr>
        <w:tc>
          <w:tcPr>
            <w:tcW w:type="dxa" w:w="2304"/>
            <w:tcMar>
              <w:top w:w="90" w:type="dxa"/>
              <w:start w:w="90" w:type="dxa"/>
              <w:bottom w:w="90" w:type="dxa"/>
              <w:end w:w="90" w:type="dxa"/>
            </w:tcMar>
            <w:vAlign w:val="top"/>
          </w:tcPr>
          <w:p>
            <w:r>
              <w:rPr>
                <w:sz w:val="17"/>
              </w:rPr>
              <w:t>Membres</w:t>
            </w:r>
          </w:p>
        </w:tc>
        <w:tc>
          <w:tcPr>
            <w:tcW w:type="dxa" w:w="7344"/>
            <w:tcMar>
              <w:top w:w="90" w:type="dxa"/>
              <w:start w:w="90" w:type="dxa"/>
              <w:bottom w:w="90" w:type="dxa"/>
              <w:end w:w="90" w:type="dxa"/>
            </w:tcMar>
            <w:vAlign w:val="top"/>
          </w:tcPr>
          <w:p>
            <w:r>
              <w:rPr>
                <w:sz w:val="17"/>
              </w:rPr>
              <w:t>Tutoriels courts, FAQ, webinaires, guide PDF et assistance multicanale.</w:t>
            </w:r>
          </w:p>
        </w:tc>
      </w:tr>
      <w:tr>
        <w:tc>
          <w:tcPr>
            <w:tcW w:type="dxa" w:w="2304"/>
            <w:tcMar>
              <w:top w:w="90" w:type="dxa"/>
              <w:start w:w="90" w:type="dxa"/>
              <w:bottom w:w="90" w:type="dxa"/>
              <w:end w:w="90" w:type="dxa"/>
            </w:tcMar>
            <w:vAlign w:val="top"/>
          </w:tcPr>
          <w:p>
            <w:r>
              <w:rPr>
                <w:sz w:val="17"/>
              </w:rPr>
              <w:t>Direction</w:t>
            </w:r>
          </w:p>
        </w:tc>
        <w:tc>
          <w:tcPr>
            <w:tcW w:type="dxa" w:w="7344"/>
            <w:tcMar>
              <w:top w:w="90" w:type="dxa"/>
              <w:start w:w="90" w:type="dxa"/>
              <w:bottom w:w="90" w:type="dxa"/>
              <w:end w:w="90" w:type="dxa"/>
            </w:tcMar>
            <w:vAlign w:val="top"/>
          </w:tcPr>
          <w:p>
            <w:r>
              <w:rPr>
                <w:sz w:val="17"/>
              </w:rPr>
              <w:t>Lecture des KPI, alertes, projections et décisions.</w:t>
            </w:r>
          </w:p>
        </w:tc>
      </w:tr>
    </w:tbl>
    <w:p>
      <w:pPr>
        <w:spacing w:after="20"/>
      </w:pPr>
    </w:p>
    <w:p>
      <w:pPr>
        <w:pStyle w:val="Heading1"/>
      </w:pPr>
      <w:r>
        <w:t>21. Modèle de données conceptuel</w:t>
      </w:r>
    </w:p>
    <w:p>
      <w:pPr>
        <w:pStyle w:val="Heading2"/>
      </w:pPr>
      <w:r>
        <w:t>21.1 Entités principales</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232"/>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Domaine</w:t>
            </w:r>
          </w:p>
        </w:tc>
        <w:tc>
          <w:tcPr>
            <w:tcW w:type="dxa" w:w="7416"/>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Entités principales</w:t>
            </w:r>
          </w:p>
        </w:tc>
      </w:tr>
      <w:tr>
        <w:tc>
          <w:tcPr>
            <w:tcW w:type="dxa" w:w="2232"/>
            <w:tcMar>
              <w:top w:w="90" w:type="dxa"/>
              <w:start w:w="90" w:type="dxa"/>
              <w:bottom w:w="90" w:type="dxa"/>
              <w:end w:w="90" w:type="dxa"/>
            </w:tcMar>
            <w:vAlign w:val="top"/>
          </w:tcPr>
          <w:p>
            <w:r>
              <w:rPr>
                <w:sz w:val="17"/>
              </w:rPr>
              <w:t>Identité</w:t>
            </w:r>
          </w:p>
        </w:tc>
        <w:tc>
          <w:tcPr>
            <w:tcW w:type="dxa" w:w="7416"/>
            <w:tcMar>
              <w:top w:w="90" w:type="dxa"/>
              <w:start w:w="90" w:type="dxa"/>
              <w:bottom w:w="90" w:type="dxa"/>
              <w:end w:w="90" w:type="dxa"/>
            </w:tcMar>
            <w:vAlign w:val="top"/>
          </w:tcPr>
          <w:p>
            <w:r>
              <w:rPr>
                <w:sz w:val="17"/>
              </w:rPr>
              <w:t>Organisation, établissement, contact, utilisateur, rôle, consentement, pièce.</w:t>
            </w:r>
          </w:p>
        </w:tc>
      </w:tr>
      <w:tr>
        <w:tc>
          <w:tcPr>
            <w:tcW w:type="dxa" w:w="2232"/>
            <w:tcMar>
              <w:top w:w="90" w:type="dxa"/>
              <w:start w:w="90" w:type="dxa"/>
              <w:bottom w:w="90" w:type="dxa"/>
              <w:end w:w="90" w:type="dxa"/>
            </w:tcMar>
            <w:vAlign w:val="top"/>
          </w:tcPr>
          <w:p>
            <w:r>
              <w:rPr>
                <w:sz w:val="17"/>
              </w:rPr>
              <w:t>Adhésion</w:t>
            </w:r>
          </w:p>
        </w:tc>
        <w:tc>
          <w:tcPr>
            <w:tcW w:type="dxa" w:w="7416"/>
            <w:tcMar>
              <w:top w:w="90" w:type="dxa"/>
              <w:start w:w="90" w:type="dxa"/>
              <w:bottom w:w="90" w:type="dxa"/>
              <w:end w:w="90" w:type="dxa"/>
            </w:tcMar>
            <w:vAlign w:val="top"/>
          </w:tcPr>
          <w:p>
            <w:r>
              <w:rPr>
                <w:sz w:val="17"/>
              </w:rPr>
              <w:t>Dossier adhésion, membre, catégorie, groupement, mandat, statut, historique.</w:t>
            </w:r>
          </w:p>
        </w:tc>
      </w:tr>
      <w:tr>
        <w:tc>
          <w:tcPr>
            <w:tcW w:type="dxa" w:w="2232"/>
            <w:tcMar>
              <w:top w:w="90" w:type="dxa"/>
              <w:start w:w="90" w:type="dxa"/>
              <w:bottom w:w="90" w:type="dxa"/>
              <w:end w:w="90" w:type="dxa"/>
            </w:tcMar>
            <w:vAlign w:val="top"/>
          </w:tcPr>
          <w:p>
            <w:r>
              <w:rPr>
                <w:sz w:val="17"/>
              </w:rPr>
              <w:t>Cotisation</w:t>
            </w:r>
          </w:p>
        </w:tc>
        <w:tc>
          <w:tcPr>
            <w:tcW w:type="dxa" w:w="7416"/>
            <w:tcMar>
              <w:top w:w="90" w:type="dxa"/>
              <w:start w:w="90" w:type="dxa"/>
              <w:bottom w:w="90" w:type="dxa"/>
              <w:end w:w="90" w:type="dxa"/>
            </w:tcMar>
            <w:vAlign w:val="top"/>
          </w:tcPr>
          <w:p>
            <w:r>
              <w:rPr>
                <w:sz w:val="17"/>
              </w:rPr>
              <w:t>Exercice, barème, règle, appel, échéance, remise, pénalité, ajustement.</w:t>
            </w:r>
          </w:p>
        </w:tc>
      </w:tr>
      <w:tr>
        <w:tc>
          <w:tcPr>
            <w:tcW w:type="dxa" w:w="2232"/>
            <w:tcMar>
              <w:top w:w="90" w:type="dxa"/>
              <w:start w:w="90" w:type="dxa"/>
              <w:bottom w:w="90" w:type="dxa"/>
              <w:end w:w="90" w:type="dxa"/>
            </w:tcMar>
            <w:vAlign w:val="top"/>
          </w:tcPr>
          <w:p>
            <w:r>
              <w:rPr>
                <w:sz w:val="17"/>
              </w:rPr>
              <w:t>Paiement</w:t>
            </w:r>
          </w:p>
        </w:tc>
        <w:tc>
          <w:tcPr>
            <w:tcW w:type="dxa" w:w="7416"/>
            <w:tcMar>
              <w:top w:w="90" w:type="dxa"/>
              <w:start w:w="90" w:type="dxa"/>
              <w:bottom w:w="90" w:type="dxa"/>
              <w:end w:w="90" w:type="dxa"/>
            </w:tcMar>
            <w:vAlign w:val="top"/>
          </w:tcPr>
          <w:p>
            <w:r>
              <w:rPr>
                <w:sz w:val="17"/>
              </w:rPr>
              <w:t>Instruction, transaction, canal, preuve, relevé, rapprochement, remboursement.</w:t>
            </w:r>
          </w:p>
        </w:tc>
      </w:tr>
      <w:tr>
        <w:tc>
          <w:tcPr>
            <w:tcW w:type="dxa" w:w="2232"/>
            <w:tcMar>
              <w:top w:w="90" w:type="dxa"/>
              <w:start w:w="90" w:type="dxa"/>
              <w:bottom w:w="90" w:type="dxa"/>
              <w:end w:w="90" w:type="dxa"/>
            </w:tcMar>
            <w:vAlign w:val="top"/>
          </w:tcPr>
          <w:p>
            <w:r>
              <w:rPr>
                <w:sz w:val="17"/>
              </w:rPr>
              <w:t>Document financier</w:t>
            </w:r>
          </w:p>
        </w:tc>
        <w:tc>
          <w:tcPr>
            <w:tcW w:type="dxa" w:w="7416"/>
            <w:tcMar>
              <w:top w:w="90" w:type="dxa"/>
              <w:start w:w="90" w:type="dxa"/>
              <w:bottom w:w="90" w:type="dxa"/>
              <w:end w:w="90" w:type="dxa"/>
            </w:tcMar>
            <w:vAlign w:val="top"/>
          </w:tcPr>
          <w:p>
            <w:r>
              <w:rPr>
                <w:sz w:val="17"/>
              </w:rPr>
              <w:t>Reçu, attestation, numéro de série, signature, QR de vérification.</w:t>
            </w:r>
          </w:p>
        </w:tc>
      </w:tr>
      <w:tr>
        <w:tc>
          <w:tcPr>
            <w:tcW w:type="dxa" w:w="2232"/>
            <w:tcMar>
              <w:top w:w="90" w:type="dxa"/>
              <w:start w:w="90" w:type="dxa"/>
              <w:bottom w:w="90" w:type="dxa"/>
              <w:end w:w="90" w:type="dxa"/>
            </w:tcMar>
            <w:vAlign w:val="top"/>
          </w:tcPr>
          <w:p>
            <w:r>
              <w:rPr>
                <w:sz w:val="17"/>
              </w:rPr>
              <w:t>Recouvrement</w:t>
            </w:r>
          </w:p>
        </w:tc>
        <w:tc>
          <w:tcPr>
            <w:tcW w:type="dxa" w:w="7416"/>
            <w:tcMar>
              <w:top w:w="90" w:type="dxa"/>
              <w:start w:w="90" w:type="dxa"/>
              <w:bottom w:w="90" w:type="dxa"/>
              <w:end w:w="90" w:type="dxa"/>
            </w:tcMar>
            <w:vAlign w:val="top"/>
          </w:tcPr>
          <w:p>
            <w:r>
              <w:rPr>
                <w:sz w:val="17"/>
              </w:rPr>
              <w:t>Campagne, séquence, action, interaction, promesse, visite, portefeuille.</w:t>
            </w:r>
          </w:p>
        </w:tc>
      </w:tr>
      <w:tr>
        <w:tc>
          <w:tcPr>
            <w:tcW w:type="dxa" w:w="2232"/>
            <w:tcMar>
              <w:top w:w="90" w:type="dxa"/>
              <w:start w:w="90" w:type="dxa"/>
              <w:bottom w:w="90" w:type="dxa"/>
              <w:end w:w="90" w:type="dxa"/>
            </w:tcMar>
            <w:vAlign w:val="top"/>
          </w:tcPr>
          <w:p>
            <w:r>
              <w:rPr>
                <w:sz w:val="17"/>
              </w:rPr>
              <w:t>Services</w:t>
            </w:r>
          </w:p>
        </w:tc>
        <w:tc>
          <w:tcPr>
            <w:tcW w:type="dxa" w:w="7416"/>
            <w:tcMar>
              <w:top w:w="90" w:type="dxa"/>
              <w:start w:w="90" w:type="dxa"/>
              <w:bottom w:w="90" w:type="dxa"/>
              <w:end w:w="90" w:type="dxa"/>
            </w:tcMar>
            <w:vAlign w:val="top"/>
          </w:tcPr>
          <w:p>
            <w:r>
              <w:rPr>
                <w:sz w:val="17"/>
              </w:rPr>
              <w:t>Catalogue, requête, SLA, affectation, message, satisfaction.</w:t>
            </w:r>
          </w:p>
        </w:tc>
      </w:tr>
      <w:tr>
        <w:tc>
          <w:tcPr>
            <w:tcW w:type="dxa" w:w="2232"/>
            <w:tcMar>
              <w:top w:w="90" w:type="dxa"/>
              <w:start w:w="90" w:type="dxa"/>
              <w:bottom w:w="90" w:type="dxa"/>
              <w:end w:w="90" w:type="dxa"/>
            </w:tcMar>
            <w:vAlign w:val="top"/>
          </w:tcPr>
          <w:p>
            <w:r>
              <w:rPr>
                <w:sz w:val="17"/>
              </w:rPr>
              <w:t>Gouvernance</w:t>
            </w:r>
          </w:p>
        </w:tc>
        <w:tc>
          <w:tcPr>
            <w:tcW w:type="dxa" w:w="7416"/>
            <w:tcMar>
              <w:top w:w="90" w:type="dxa"/>
              <w:start w:w="90" w:type="dxa"/>
              <w:bottom w:w="90" w:type="dxa"/>
              <w:end w:w="90" w:type="dxa"/>
            </w:tcMar>
            <w:vAlign w:val="top"/>
          </w:tcPr>
          <w:p>
            <w:r>
              <w:rPr>
                <w:sz w:val="17"/>
              </w:rPr>
              <w:t>Commission, réunion, participant, décision, action, vote.</w:t>
            </w:r>
          </w:p>
        </w:tc>
      </w:tr>
      <w:tr>
        <w:tc>
          <w:tcPr>
            <w:tcW w:type="dxa" w:w="2232"/>
            <w:tcMar>
              <w:top w:w="90" w:type="dxa"/>
              <w:start w:w="90" w:type="dxa"/>
              <w:bottom w:w="90" w:type="dxa"/>
              <w:end w:w="90" w:type="dxa"/>
            </w:tcMar>
            <w:vAlign w:val="top"/>
          </w:tcPr>
          <w:p>
            <w:r>
              <w:rPr>
                <w:sz w:val="17"/>
              </w:rPr>
              <w:t>Communication</w:t>
            </w:r>
          </w:p>
        </w:tc>
        <w:tc>
          <w:tcPr>
            <w:tcW w:type="dxa" w:w="7416"/>
            <w:tcMar>
              <w:top w:w="90" w:type="dxa"/>
              <w:start w:w="90" w:type="dxa"/>
              <w:bottom w:w="90" w:type="dxa"/>
              <w:end w:w="90" w:type="dxa"/>
            </w:tcMar>
            <w:vAlign w:val="top"/>
          </w:tcPr>
          <w:p>
            <w:r>
              <w:rPr>
                <w:sz w:val="17"/>
              </w:rPr>
              <w:t>Modèle, notification, envoi, statut, préférence, campagne.</w:t>
            </w:r>
          </w:p>
        </w:tc>
      </w:tr>
      <w:tr>
        <w:tc>
          <w:tcPr>
            <w:tcW w:type="dxa" w:w="2232"/>
            <w:tcMar>
              <w:top w:w="90" w:type="dxa"/>
              <w:start w:w="90" w:type="dxa"/>
              <w:bottom w:w="90" w:type="dxa"/>
              <w:end w:w="90" w:type="dxa"/>
            </w:tcMar>
            <w:vAlign w:val="top"/>
          </w:tcPr>
          <w:p>
            <w:r>
              <w:rPr>
                <w:sz w:val="17"/>
              </w:rPr>
              <w:t>Décisionnel</w:t>
            </w:r>
          </w:p>
        </w:tc>
        <w:tc>
          <w:tcPr>
            <w:tcW w:type="dxa" w:w="7416"/>
            <w:tcMar>
              <w:top w:w="90" w:type="dxa"/>
              <w:start w:w="90" w:type="dxa"/>
              <w:bottom w:w="90" w:type="dxa"/>
              <w:end w:w="90" w:type="dxa"/>
            </w:tcMar>
            <w:vAlign w:val="top"/>
          </w:tcPr>
          <w:p>
            <w:r>
              <w:rPr>
                <w:sz w:val="17"/>
              </w:rPr>
              <w:t>Objectif, KPI, snapshot, score, alerte, prévision.</w:t>
            </w:r>
          </w:p>
        </w:tc>
      </w:tr>
      <w:tr>
        <w:tc>
          <w:tcPr>
            <w:tcW w:type="dxa" w:w="2232"/>
            <w:tcMar>
              <w:top w:w="90" w:type="dxa"/>
              <w:start w:w="90" w:type="dxa"/>
              <w:bottom w:w="90" w:type="dxa"/>
              <w:end w:w="90" w:type="dxa"/>
            </w:tcMar>
            <w:vAlign w:val="top"/>
          </w:tcPr>
          <w:p>
            <w:r>
              <w:rPr>
                <w:sz w:val="17"/>
              </w:rPr>
              <w:t>Administration</w:t>
            </w:r>
          </w:p>
        </w:tc>
        <w:tc>
          <w:tcPr>
            <w:tcW w:type="dxa" w:w="7416"/>
            <w:tcMar>
              <w:top w:w="90" w:type="dxa"/>
              <w:start w:w="90" w:type="dxa"/>
              <w:bottom w:w="90" w:type="dxa"/>
              <w:end w:w="90" w:type="dxa"/>
            </w:tcMar>
            <w:vAlign w:val="top"/>
          </w:tcPr>
          <w:p>
            <w:r>
              <w:rPr>
                <w:sz w:val="17"/>
              </w:rPr>
              <w:t>Référentiel, workflow, validation, configuration, intégration, journal audit.</w:t>
            </w:r>
          </w:p>
        </w:tc>
      </w:tr>
      <w:tr>
        <w:tc>
          <w:tcPr>
            <w:tcW w:type="dxa" w:w="2232"/>
            <w:tcMar>
              <w:top w:w="90" w:type="dxa"/>
              <w:start w:w="90" w:type="dxa"/>
              <w:bottom w:w="90" w:type="dxa"/>
              <w:end w:w="90" w:type="dxa"/>
            </w:tcMar>
            <w:vAlign w:val="top"/>
          </w:tcPr>
          <w:p>
            <w:r>
              <w:rPr>
                <w:sz w:val="17"/>
              </w:rPr>
              <w:t>Rémunération</w:t>
            </w:r>
          </w:p>
        </w:tc>
        <w:tc>
          <w:tcPr>
            <w:tcW w:type="dxa" w:w="7416"/>
            <w:tcMar>
              <w:top w:w="90" w:type="dxa"/>
              <w:start w:w="90" w:type="dxa"/>
              <w:bottom w:w="90" w:type="dxa"/>
              <w:end w:w="90" w:type="dxa"/>
            </w:tcMar>
            <w:vAlign w:val="top"/>
          </w:tcPr>
          <w:p>
            <w:r>
              <w:rPr>
                <w:sz w:val="17"/>
              </w:rPr>
              <w:t>Règle de prime, attribution, calcul, période, validation, partage revenus.</w:t>
            </w:r>
          </w:p>
        </w:tc>
      </w:tr>
    </w:tbl>
    <w:p>
      <w:pPr>
        <w:spacing w:after="20"/>
      </w:pPr>
    </w:p>
    <w:p>
      <w:pPr>
        <w:pStyle w:val="Heading2"/>
      </w:pPr>
      <w:r>
        <w:t>21.2 Principes de données</w:t>
      </w:r>
    </w:p>
    <w:p>
      <w:pPr>
        <w:pStyle w:val="ListBullet"/>
      </w:pPr>
      <w:r>
        <w:t>Le modèle physique est implémenté sur PostgreSQL; toute évolution passe par une migration Flyway versionnée et testée.</w:t>
      </w:r>
    </w:p>
    <w:p>
      <w:pPr>
        <w:pStyle w:val="ListBullet"/>
      </w:pPr>
      <w:r>
        <w:t>Clés techniques immuables et identifiants métiers lisibles distincts.</w:t>
      </w:r>
    </w:p>
    <w:p>
      <w:pPr>
        <w:pStyle w:val="ListBullet"/>
      </w:pPr>
      <w:r>
        <w:t>Historisation des dimensions sensibles : catégorie, groupement, statut, coordonnées, barèmes.</w:t>
      </w:r>
    </w:p>
    <w:p>
      <w:pPr>
        <w:pStyle w:val="ListBullet"/>
      </w:pPr>
      <w:r>
        <w:t>Dates de création, modification, validation, effet et fin de validité séparées.</w:t>
      </w:r>
    </w:p>
    <w:p>
      <w:pPr>
        <w:pStyle w:val="ListBullet"/>
      </w:pPr>
      <w:r>
        <w:t>Aucune suppression physique d'une transaction financière validée; correction par écriture compensatrice.</w:t>
      </w:r>
    </w:p>
    <w:p>
      <w:pPr>
        <w:pStyle w:val="ListBullet"/>
      </w:pPr>
      <w:r>
        <w:t>Traçabilité de la source : saisie, import, API, migration ou calcul.</w:t>
      </w:r>
    </w:p>
    <w:p>
      <w:pPr>
        <w:pStyle w:val="ListBullet"/>
      </w:pPr>
      <w:r>
        <w:t>Contrôles de qualité automatisés et tableau de bord de complétude, unicité, cohérence et fraîcheur.</w:t>
      </w:r>
    </w:p>
    <w:p>
      <w:pPr>
        <w:pStyle w:val="ListBullet"/>
      </w:pPr>
      <w:r>
        <w:t>Pièces binaires stockées dans un stockage objet S3 chiffré; PostgreSQL conserve métadonnées, empreinte, version, droits et lien.</w:t>
      </w:r>
    </w:p>
    <w:p>
      <w:pPr>
        <w:pStyle w:val="ListBullet"/>
      </w:pPr>
      <w:r>
        <w:t>Exports de réversibilité en SQL et formats ouverts, accompagnés du dictionnaire, des contraintes et des contrôles de totalisation.</w:t>
      </w:r>
    </w:p>
    <w:p>
      <w:pPr>
        <w:pStyle w:val="Heading2"/>
      </w:pPr>
      <w:r>
        <w:t>21.3 Données minimales entreprise</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2088"/>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Bloc</w:t>
            </w:r>
          </w:p>
        </w:tc>
        <w:tc>
          <w:tcPr>
            <w:tcW w:type="dxa" w:w="7560"/>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Champs minimaux</w:t>
            </w:r>
          </w:p>
        </w:tc>
      </w:tr>
      <w:tr>
        <w:tc>
          <w:tcPr>
            <w:tcW w:type="dxa" w:w="2088"/>
            <w:tcMar>
              <w:top w:w="90" w:type="dxa"/>
              <w:start w:w="90" w:type="dxa"/>
              <w:bottom w:w="90" w:type="dxa"/>
              <w:end w:w="90" w:type="dxa"/>
            </w:tcMar>
            <w:vAlign w:val="top"/>
          </w:tcPr>
          <w:p>
            <w:r>
              <w:rPr>
                <w:sz w:val="17"/>
              </w:rPr>
              <w:t>Identification</w:t>
            </w:r>
          </w:p>
        </w:tc>
        <w:tc>
          <w:tcPr>
            <w:tcW w:type="dxa" w:w="7560"/>
            <w:tcMar>
              <w:top w:w="90" w:type="dxa"/>
              <w:start w:w="90" w:type="dxa"/>
              <w:bottom w:w="90" w:type="dxa"/>
              <w:end w:w="90" w:type="dxa"/>
            </w:tcMar>
            <w:vAlign w:val="top"/>
          </w:tcPr>
          <w:p>
            <w:r>
              <w:rPr>
                <w:sz w:val="17"/>
              </w:rPr>
              <w:t>ID CNPM, raison sociale, sigle, forme juridique, RCCM, NIF, date création.</w:t>
            </w:r>
          </w:p>
        </w:tc>
      </w:tr>
      <w:tr>
        <w:tc>
          <w:tcPr>
            <w:tcW w:type="dxa" w:w="2088"/>
            <w:tcMar>
              <w:top w:w="90" w:type="dxa"/>
              <w:start w:w="90" w:type="dxa"/>
              <w:bottom w:w="90" w:type="dxa"/>
              <w:end w:w="90" w:type="dxa"/>
            </w:tcMar>
            <w:vAlign w:val="top"/>
          </w:tcPr>
          <w:p>
            <w:r>
              <w:rPr>
                <w:sz w:val="17"/>
              </w:rPr>
              <w:t>Classification</w:t>
            </w:r>
          </w:p>
        </w:tc>
        <w:tc>
          <w:tcPr>
            <w:tcW w:type="dxa" w:w="7560"/>
            <w:tcMar>
              <w:top w:w="90" w:type="dxa"/>
              <w:start w:w="90" w:type="dxa"/>
              <w:bottom w:w="90" w:type="dxa"/>
              <w:end w:w="90" w:type="dxa"/>
            </w:tcMar>
            <w:vAlign w:val="top"/>
          </w:tcPr>
          <w:p>
            <w:r>
              <w:rPr>
                <w:sz w:val="17"/>
              </w:rPr>
              <w:t>Catégorie, secteur, sous-secteur, groupement, taille, région.</w:t>
            </w:r>
          </w:p>
        </w:tc>
      </w:tr>
      <w:tr>
        <w:tc>
          <w:tcPr>
            <w:tcW w:type="dxa" w:w="2088"/>
            <w:tcMar>
              <w:top w:w="90" w:type="dxa"/>
              <w:start w:w="90" w:type="dxa"/>
              <w:bottom w:w="90" w:type="dxa"/>
              <w:end w:w="90" w:type="dxa"/>
            </w:tcMar>
            <w:vAlign w:val="top"/>
          </w:tcPr>
          <w:p>
            <w:r>
              <w:rPr>
                <w:sz w:val="17"/>
              </w:rPr>
              <w:t>Contacts</w:t>
            </w:r>
          </w:p>
        </w:tc>
        <w:tc>
          <w:tcPr>
            <w:tcW w:type="dxa" w:w="7560"/>
            <w:tcMar>
              <w:top w:w="90" w:type="dxa"/>
              <w:start w:w="90" w:type="dxa"/>
              <w:bottom w:w="90" w:type="dxa"/>
              <w:end w:w="90" w:type="dxa"/>
            </w:tcMar>
            <w:vAlign w:val="top"/>
          </w:tcPr>
          <w:p>
            <w:r>
              <w:rPr>
                <w:sz w:val="17"/>
              </w:rPr>
              <w:t>Représentant légal, point focal, contact financier, téléphone, e-mail.</w:t>
            </w:r>
          </w:p>
        </w:tc>
      </w:tr>
      <w:tr>
        <w:tc>
          <w:tcPr>
            <w:tcW w:type="dxa" w:w="2088"/>
            <w:tcMar>
              <w:top w:w="90" w:type="dxa"/>
              <w:start w:w="90" w:type="dxa"/>
              <w:bottom w:w="90" w:type="dxa"/>
              <w:end w:w="90" w:type="dxa"/>
            </w:tcMar>
            <w:vAlign w:val="top"/>
          </w:tcPr>
          <w:p>
            <w:r>
              <w:rPr>
                <w:sz w:val="17"/>
              </w:rPr>
              <w:t>Adresse</w:t>
            </w:r>
          </w:p>
        </w:tc>
        <w:tc>
          <w:tcPr>
            <w:tcW w:type="dxa" w:w="7560"/>
            <w:tcMar>
              <w:top w:w="90" w:type="dxa"/>
              <w:start w:w="90" w:type="dxa"/>
              <w:bottom w:w="90" w:type="dxa"/>
              <w:end w:w="90" w:type="dxa"/>
            </w:tcMar>
            <w:vAlign w:val="top"/>
          </w:tcPr>
          <w:p>
            <w:r>
              <w:rPr>
                <w:sz w:val="17"/>
              </w:rPr>
              <w:t>Siège, commune, région, pays, coordonnées facultatives.</w:t>
            </w:r>
          </w:p>
        </w:tc>
      </w:tr>
      <w:tr>
        <w:tc>
          <w:tcPr>
            <w:tcW w:type="dxa" w:w="2088"/>
            <w:tcMar>
              <w:top w:w="90" w:type="dxa"/>
              <w:start w:w="90" w:type="dxa"/>
              <w:bottom w:w="90" w:type="dxa"/>
              <w:end w:w="90" w:type="dxa"/>
            </w:tcMar>
            <w:vAlign w:val="top"/>
          </w:tcPr>
          <w:p>
            <w:r>
              <w:rPr>
                <w:sz w:val="17"/>
              </w:rPr>
              <w:t>Adhésion</w:t>
            </w:r>
          </w:p>
        </w:tc>
        <w:tc>
          <w:tcPr>
            <w:tcW w:type="dxa" w:w="7560"/>
            <w:tcMar>
              <w:top w:w="90" w:type="dxa"/>
              <w:start w:w="90" w:type="dxa"/>
              <w:bottom w:w="90" w:type="dxa"/>
              <w:end w:w="90" w:type="dxa"/>
            </w:tcMar>
            <w:vAlign w:val="top"/>
          </w:tcPr>
          <w:p>
            <w:r>
              <w:rPr>
                <w:sz w:val="17"/>
              </w:rPr>
              <w:t>Date demande, date validation, numéro membre, statut, motif.</w:t>
            </w:r>
          </w:p>
        </w:tc>
      </w:tr>
      <w:tr>
        <w:tc>
          <w:tcPr>
            <w:tcW w:type="dxa" w:w="2088"/>
            <w:tcMar>
              <w:top w:w="90" w:type="dxa"/>
              <w:start w:w="90" w:type="dxa"/>
              <w:bottom w:w="90" w:type="dxa"/>
              <w:end w:w="90" w:type="dxa"/>
            </w:tcMar>
            <w:vAlign w:val="top"/>
          </w:tcPr>
          <w:p>
            <w:r>
              <w:rPr>
                <w:sz w:val="17"/>
              </w:rPr>
              <w:t>Financier</w:t>
            </w:r>
          </w:p>
        </w:tc>
        <w:tc>
          <w:tcPr>
            <w:tcW w:type="dxa" w:w="7560"/>
            <w:tcMar>
              <w:top w:w="90" w:type="dxa"/>
              <w:start w:w="90" w:type="dxa"/>
              <w:bottom w:w="90" w:type="dxa"/>
              <w:end w:w="90" w:type="dxa"/>
            </w:tcMar>
            <w:vAlign w:val="top"/>
          </w:tcPr>
          <w:p>
            <w:r>
              <w:rPr>
                <w:sz w:val="17"/>
              </w:rPr>
              <w:t>Barème, exercice, appels, solde, dernier paiement, ancienneté.</w:t>
            </w:r>
          </w:p>
        </w:tc>
      </w:tr>
      <w:tr>
        <w:tc>
          <w:tcPr>
            <w:tcW w:type="dxa" w:w="2088"/>
            <w:tcMar>
              <w:top w:w="90" w:type="dxa"/>
              <w:start w:w="90" w:type="dxa"/>
              <w:bottom w:w="90" w:type="dxa"/>
              <w:end w:w="90" w:type="dxa"/>
            </w:tcMar>
            <w:vAlign w:val="top"/>
          </w:tcPr>
          <w:p>
            <w:r>
              <w:rPr>
                <w:sz w:val="17"/>
              </w:rPr>
              <w:t>Conformité</w:t>
            </w:r>
          </w:p>
        </w:tc>
        <w:tc>
          <w:tcPr>
            <w:tcW w:type="dxa" w:w="7560"/>
            <w:tcMar>
              <w:top w:w="90" w:type="dxa"/>
              <w:start w:w="90" w:type="dxa"/>
              <w:bottom w:w="90" w:type="dxa"/>
              <w:end w:w="90" w:type="dxa"/>
            </w:tcMar>
            <w:vAlign w:val="top"/>
          </w:tcPr>
          <w:p>
            <w:r>
              <w:rPr>
                <w:sz w:val="17"/>
              </w:rPr>
              <w:t>Pièces, dates d’expiration, consentements, contrôles et anomalies.</w:t>
            </w:r>
          </w:p>
        </w:tc>
      </w:tr>
      <w:tr>
        <w:tc>
          <w:tcPr>
            <w:tcW w:type="dxa" w:w="2088"/>
            <w:tcMar>
              <w:top w:w="90" w:type="dxa"/>
              <w:start w:w="90" w:type="dxa"/>
              <w:bottom w:w="90" w:type="dxa"/>
              <w:end w:w="90" w:type="dxa"/>
            </w:tcMar>
            <w:vAlign w:val="top"/>
          </w:tcPr>
          <w:p>
            <w:r>
              <w:rPr>
                <w:sz w:val="17"/>
              </w:rPr>
              <w:t>Relation</w:t>
            </w:r>
          </w:p>
        </w:tc>
        <w:tc>
          <w:tcPr>
            <w:tcW w:type="dxa" w:w="7560"/>
            <w:tcMar>
              <w:top w:w="90" w:type="dxa"/>
              <w:start w:w="90" w:type="dxa"/>
              <w:bottom w:w="90" w:type="dxa"/>
              <w:end w:w="90" w:type="dxa"/>
            </w:tcMar>
            <w:vAlign w:val="top"/>
          </w:tcPr>
          <w:p>
            <w:r>
              <w:rPr>
                <w:sz w:val="17"/>
              </w:rPr>
              <w:t>Source acquisition, agent, interactions, requêtes, événements, satisfaction.</w:t>
            </w:r>
          </w:p>
        </w:tc>
      </w:tr>
    </w:tbl>
    <w:p>
      <w:pPr>
        <w:spacing w:after="20"/>
      </w:pPr>
    </w:p>
    <w:p>
      <w:pPr>
        <w:pStyle w:val="Heading1"/>
      </w:pPr>
      <w:r>
        <w:t>22. Matrice de traçabilité et annexes</w:t>
      </w:r>
    </w:p>
    <w:p>
      <w:pPr>
        <w:pStyle w:val="Heading2"/>
      </w:pPr>
      <w:r>
        <w:t>22.1 Couverture des TDR</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3384"/>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Exigence TDR</w:t>
            </w:r>
          </w:p>
        </w:tc>
        <w:tc>
          <w:tcPr>
            <w:tcW w:type="dxa" w:w="6264"/>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Couverture dans la spécification</w:t>
            </w:r>
          </w:p>
        </w:tc>
      </w:tr>
      <w:tr>
        <w:tc>
          <w:tcPr>
            <w:tcW w:type="dxa" w:w="3384"/>
            <w:tcMar>
              <w:top w:w="90" w:type="dxa"/>
              <w:start w:w="90" w:type="dxa"/>
              <w:bottom w:w="90" w:type="dxa"/>
              <w:end w:w="90" w:type="dxa"/>
            </w:tcMar>
            <w:vAlign w:val="top"/>
          </w:tcPr>
          <w:p>
            <w:pPr>
              <w:spacing w:after="0"/>
            </w:pPr>
            <w:r>
              <w:rPr>
                <w:b w:val="0"/>
                <w:color w:val="1E2430"/>
                <w:sz w:val="16"/>
              </w:rPr>
              <w:t>Enrôlement numérique web/mobile</w:t>
            </w:r>
          </w:p>
        </w:tc>
        <w:tc>
          <w:tcPr>
            <w:tcW w:type="dxa" w:w="6264"/>
            <w:tcMar>
              <w:top w:w="90" w:type="dxa"/>
              <w:start w:w="90" w:type="dxa"/>
              <w:bottom w:w="90" w:type="dxa"/>
              <w:end w:w="90" w:type="dxa"/>
            </w:tcMar>
            <w:vAlign w:val="top"/>
          </w:tcPr>
          <w:p>
            <w:pPr>
              <w:spacing w:after="0"/>
            </w:pPr>
            <w:r>
              <w:rPr>
                <w:b w:val="0"/>
                <w:color w:val="1E2430"/>
                <w:sz w:val="16"/>
              </w:rPr>
              <w:t>Sections 6, 7 et 11; KYC, validation, faible connectivité, import prospects.</w:t>
            </w:r>
          </w:p>
        </w:tc>
      </w:tr>
      <w:tr>
        <w:tc>
          <w:tcPr>
            <w:tcW w:type="dxa" w:w="3384"/>
            <w:tcMar>
              <w:top w:w="90" w:type="dxa"/>
              <w:start w:w="90" w:type="dxa"/>
              <w:bottom w:w="90" w:type="dxa"/>
              <w:end w:w="90" w:type="dxa"/>
            </w:tcMar>
            <w:vAlign w:val="top"/>
          </w:tcPr>
          <w:p>
            <w:pPr>
              <w:spacing w:after="0"/>
            </w:pPr>
            <w:r>
              <w:rPr>
                <w:b w:val="0"/>
                <w:color w:val="1E2430"/>
                <w:sz w:val="16"/>
              </w:rPr>
              <w:t>Paiement Mobile Money et virement</w:t>
            </w:r>
          </w:p>
        </w:tc>
        <w:tc>
          <w:tcPr>
            <w:tcW w:type="dxa" w:w="6264"/>
            <w:tcMar>
              <w:top w:w="90" w:type="dxa"/>
              <w:start w:w="90" w:type="dxa"/>
              <w:bottom w:w="90" w:type="dxa"/>
              <w:end w:w="90" w:type="dxa"/>
            </w:tcMar>
            <w:vAlign w:val="top"/>
          </w:tcPr>
          <w:p>
            <w:pPr>
              <w:spacing w:after="0"/>
            </w:pPr>
            <w:r>
              <w:rPr>
                <w:b w:val="0"/>
                <w:color w:val="1E2430"/>
                <w:sz w:val="16"/>
              </w:rPr>
              <w:t>Section 9 et 18; référence unique, API, rapprochement, anomalies.</w:t>
            </w:r>
          </w:p>
        </w:tc>
      </w:tr>
      <w:tr>
        <w:tc>
          <w:tcPr>
            <w:tcW w:type="dxa" w:w="3384"/>
            <w:tcMar>
              <w:top w:w="90" w:type="dxa"/>
              <w:start w:w="90" w:type="dxa"/>
              <w:bottom w:w="90" w:type="dxa"/>
              <w:end w:w="90" w:type="dxa"/>
            </w:tcMar>
            <w:vAlign w:val="top"/>
          </w:tcPr>
          <w:p>
            <w:pPr>
              <w:spacing w:after="0"/>
            </w:pPr>
            <w:r>
              <w:rPr>
                <w:b w:val="0"/>
                <w:color w:val="1E2430"/>
                <w:sz w:val="16"/>
              </w:rPr>
              <w:t>Confirmation et reçus CNPM</w:t>
            </w:r>
          </w:p>
        </w:tc>
        <w:tc>
          <w:tcPr>
            <w:tcW w:type="dxa" w:w="6264"/>
            <w:tcMar>
              <w:top w:w="90" w:type="dxa"/>
              <w:start w:w="90" w:type="dxa"/>
              <w:bottom w:w="90" w:type="dxa"/>
              <w:end w:w="90" w:type="dxa"/>
            </w:tcMar>
            <w:vAlign w:val="top"/>
          </w:tcPr>
          <w:p>
            <w:pPr>
              <w:spacing w:after="0"/>
            </w:pPr>
            <w:r>
              <w:rPr>
                <w:b w:val="0"/>
                <w:color w:val="1E2430"/>
                <w:sz w:val="16"/>
              </w:rPr>
              <w:t>Section 9.4; validation CNPM, signature, QR, archivage.</w:t>
            </w:r>
          </w:p>
        </w:tc>
      </w:tr>
      <w:tr>
        <w:tc>
          <w:tcPr>
            <w:tcW w:type="dxa" w:w="3384"/>
            <w:tcMar>
              <w:top w:w="90" w:type="dxa"/>
              <w:start w:w="90" w:type="dxa"/>
              <w:bottom w:w="90" w:type="dxa"/>
              <w:end w:w="90" w:type="dxa"/>
            </w:tcMar>
            <w:vAlign w:val="top"/>
          </w:tcPr>
          <w:p>
            <w:pPr>
              <w:spacing w:after="0"/>
            </w:pPr>
            <w:r>
              <w:rPr>
                <w:b w:val="0"/>
                <w:color w:val="1E2430"/>
                <w:sz w:val="16"/>
              </w:rPr>
              <w:t>Relances et journal des interactions</w:t>
            </w:r>
          </w:p>
        </w:tc>
        <w:tc>
          <w:tcPr>
            <w:tcW w:type="dxa" w:w="6264"/>
            <w:tcMar>
              <w:top w:w="90" w:type="dxa"/>
              <w:start w:w="90" w:type="dxa"/>
              <w:bottom w:w="90" w:type="dxa"/>
              <w:end w:w="90" w:type="dxa"/>
            </w:tcMar>
            <w:vAlign w:val="top"/>
          </w:tcPr>
          <w:p>
            <w:pPr>
              <w:spacing w:after="0"/>
            </w:pPr>
            <w:r>
              <w:rPr>
                <w:b w:val="0"/>
                <w:color w:val="1E2430"/>
                <w:sz w:val="16"/>
              </w:rPr>
              <w:t>Section 10; scénarios, promesses, campagnes, portefeuille.</w:t>
            </w:r>
          </w:p>
        </w:tc>
      </w:tr>
      <w:tr>
        <w:tc>
          <w:tcPr>
            <w:tcW w:type="dxa" w:w="3384"/>
            <w:tcMar>
              <w:top w:w="90" w:type="dxa"/>
              <w:start w:w="90" w:type="dxa"/>
              <w:bottom w:w="90" w:type="dxa"/>
              <w:end w:w="90" w:type="dxa"/>
            </w:tcMar>
            <w:vAlign w:val="top"/>
          </w:tcPr>
          <w:p>
            <w:pPr>
              <w:spacing w:after="0"/>
            </w:pPr>
            <w:r>
              <w:rPr>
                <w:b w:val="0"/>
                <w:color w:val="1E2430"/>
                <w:sz w:val="16"/>
              </w:rPr>
              <w:t>Tableau de bord et reporting</w:t>
            </w:r>
          </w:p>
        </w:tc>
        <w:tc>
          <w:tcPr>
            <w:tcW w:type="dxa" w:w="6264"/>
            <w:tcMar>
              <w:top w:w="90" w:type="dxa"/>
              <w:start w:w="90" w:type="dxa"/>
              <w:bottom w:w="90" w:type="dxa"/>
              <w:end w:w="90" w:type="dxa"/>
            </w:tcMar>
            <w:vAlign w:val="top"/>
          </w:tcPr>
          <w:p>
            <w:pPr>
              <w:spacing w:after="0"/>
            </w:pPr>
            <w:r>
              <w:rPr>
                <w:b w:val="0"/>
                <w:color w:val="1E2430"/>
                <w:sz w:val="16"/>
              </w:rPr>
              <w:t>Section 16; DG, opérationnel, rapports, exports, prévisions.</w:t>
            </w:r>
          </w:p>
        </w:tc>
      </w:tr>
      <w:tr>
        <w:tc>
          <w:tcPr>
            <w:tcW w:type="dxa" w:w="3384"/>
            <w:tcMar>
              <w:top w:w="90" w:type="dxa"/>
              <w:start w:w="90" w:type="dxa"/>
              <w:bottom w:w="90" w:type="dxa"/>
              <w:end w:w="90" w:type="dxa"/>
            </w:tcMar>
            <w:vAlign w:val="top"/>
          </w:tcPr>
          <w:p>
            <w:pPr>
              <w:spacing w:after="0"/>
            </w:pPr>
            <w:r>
              <w:rPr>
                <w:b w:val="0"/>
                <w:color w:val="1E2430"/>
                <w:sz w:val="16"/>
              </w:rPr>
              <w:t>Catégories actifs/dormants/prospects/grands</w:t>
            </w:r>
          </w:p>
        </w:tc>
        <w:tc>
          <w:tcPr>
            <w:tcW w:type="dxa" w:w="6264"/>
            <w:tcMar>
              <w:top w:w="90" w:type="dxa"/>
              <w:start w:w="90" w:type="dxa"/>
              <w:bottom w:w="90" w:type="dxa"/>
              <w:end w:w="90" w:type="dxa"/>
            </w:tcMar>
            <w:vAlign w:val="top"/>
          </w:tcPr>
          <w:p>
            <w:pPr>
              <w:spacing w:after="0"/>
            </w:pPr>
            <w:r>
              <w:rPr>
                <w:b w:val="0"/>
                <w:color w:val="1E2430"/>
                <w:sz w:val="16"/>
              </w:rPr>
              <w:t>Sections 6, 8, 10 et 14; segmentation et règles différenciées.</w:t>
            </w:r>
          </w:p>
        </w:tc>
      </w:tr>
      <w:tr>
        <w:tc>
          <w:tcPr>
            <w:tcW w:type="dxa" w:w="3384"/>
            <w:tcMar>
              <w:top w:w="90" w:type="dxa"/>
              <w:start w:w="90" w:type="dxa"/>
              <w:bottom w:w="90" w:type="dxa"/>
              <w:end w:w="90" w:type="dxa"/>
            </w:tcMar>
            <w:vAlign w:val="top"/>
          </w:tcPr>
          <w:p>
            <w:pPr>
              <w:spacing w:after="0"/>
            </w:pPr>
            <w:r>
              <w:rPr>
                <w:b w:val="0"/>
                <w:color w:val="1E2430"/>
                <w:sz w:val="16"/>
              </w:rPr>
              <w:t>Primes de mobilisation</w:t>
            </w:r>
          </w:p>
        </w:tc>
        <w:tc>
          <w:tcPr>
            <w:tcW w:type="dxa" w:w="6264"/>
            <w:tcMar>
              <w:top w:w="90" w:type="dxa"/>
              <w:start w:w="90" w:type="dxa"/>
              <w:bottom w:w="90" w:type="dxa"/>
              <w:end w:w="90" w:type="dxa"/>
            </w:tcMar>
            <w:vAlign w:val="top"/>
          </w:tcPr>
          <w:p>
            <w:pPr>
              <w:spacing w:after="0"/>
            </w:pPr>
            <w:r>
              <w:rPr>
                <w:b w:val="0"/>
                <w:color w:val="1E2430"/>
                <w:sz w:val="16"/>
              </w:rPr>
              <w:t>Section 14; calcul, commission, contestations, clôture.</w:t>
            </w:r>
          </w:p>
        </w:tc>
      </w:tr>
      <w:tr>
        <w:tc>
          <w:tcPr>
            <w:tcW w:type="dxa" w:w="3384"/>
            <w:tcMar>
              <w:top w:w="90" w:type="dxa"/>
              <w:start w:w="90" w:type="dxa"/>
              <w:bottom w:w="90" w:type="dxa"/>
              <w:end w:w="90" w:type="dxa"/>
            </w:tcMar>
            <w:vAlign w:val="top"/>
          </w:tcPr>
          <w:p>
            <w:pPr>
              <w:spacing w:after="0"/>
            </w:pPr>
            <w:r>
              <w:rPr>
                <w:b w:val="0"/>
                <w:color w:val="1E2430"/>
                <w:sz w:val="16"/>
              </w:rPr>
              <w:t>Partage de revenus NTA</w:t>
            </w:r>
          </w:p>
        </w:tc>
        <w:tc>
          <w:tcPr>
            <w:tcW w:type="dxa" w:w="6264"/>
            <w:tcMar>
              <w:top w:w="90" w:type="dxa"/>
              <w:start w:w="90" w:type="dxa"/>
              <w:bottom w:w="90" w:type="dxa"/>
              <w:end w:w="90" w:type="dxa"/>
            </w:tcMar>
            <w:vAlign w:val="top"/>
          </w:tcPr>
          <w:p>
            <w:pPr>
              <w:spacing w:after="0"/>
            </w:pPr>
            <w:r>
              <w:rPr>
                <w:b w:val="0"/>
                <w:color w:val="1E2430"/>
                <w:sz w:val="16"/>
              </w:rPr>
              <w:t>Section 14; éligibilité, taux, rapprochement et net CNPM.</w:t>
            </w:r>
          </w:p>
        </w:tc>
      </w:tr>
      <w:tr>
        <w:tc>
          <w:tcPr>
            <w:tcW w:type="dxa" w:w="3384"/>
            <w:tcMar>
              <w:top w:w="90" w:type="dxa"/>
              <w:start w:w="90" w:type="dxa"/>
              <w:bottom w:w="90" w:type="dxa"/>
              <w:end w:w="90" w:type="dxa"/>
            </w:tcMar>
            <w:vAlign w:val="top"/>
          </w:tcPr>
          <w:p>
            <w:pPr>
              <w:spacing w:after="0"/>
            </w:pPr>
            <w:r>
              <w:rPr>
                <w:b w:val="0"/>
                <w:color w:val="1E2430"/>
                <w:sz w:val="16"/>
              </w:rPr>
              <w:t>Auditabilité et sécurité</w:t>
            </w:r>
          </w:p>
        </w:tc>
        <w:tc>
          <w:tcPr>
            <w:tcW w:type="dxa" w:w="6264"/>
            <w:tcMar>
              <w:top w:w="90" w:type="dxa"/>
              <w:start w:w="90" w:type="dxa"/>
              <w:bottom w:w="90" w:type="dxa"/>
              <w:end w:w="90" w:type="dxa"/>
            </w:tcMar>
            <w:vAlign w:val="top"/>
          </w:tcPr>
          <w:p>
            <w:pPr>
              <w:spacing w:after="0"/>
            </w:pPr>
            <w:r>
              <w:rPr>
                <w:b w:val="0"/>
                <w:color w:val="1E2430"/>
                <w:sz w:val="16"/>
              </w:rPr>
              <w:t>Sections 17 et 18.5 à 18.9; 2FA, RBAC, séparation, PostgreSQL, journaux, DevSecOps et PRA.</w:t>
            </w:r>
          </w:p>
        </w:tc>
      </w:tr>
      <w:tr>
        <w:tc>
          <w:tcPr>
            <w:tcW w:type="dxa" w:w="3384"/>
            <w:tcMar>
              <w:top w:w="90" w:type="dxa"/>
              <w:start w:w="90" w:type="dxa"/>
              <w:bottom w:w="90" w:type="dxa"/>
              <w:end w:w="90" w:type="dxa"/>
            </w:tcMar>
            <w:vAlign w:val="top"/>
          </w:tcPr>
          <w:p>
            <w:pPr>
              <w:spacing w:after="0"/>
            </w:pPr>
            <w:r>
              <w:rPr>
                <w:b w:val="0"/>
                <w:color w:val="1E2430"/>
                <w:sz w:val="16"/>
              </w:rPr>
              <w:t>Interopérabilité INPS</w:t>
            </w:r>
          </w:p>
        </w:tc>
        <w:tc>
          <w:tcPr>
            <w:tcW w:type="dxa" w:w="6264"/>
            <w:tcMar>
              <w:top w:w="90" w:type="dxa"/>
              <w:start w:w="90" w:type="dxa"/>
              <w:bottom w:w="90" w:type="dxa"/>
              <w:end w:w="90" w:type="dxa"/>
            </w:tcMar>
            <w:vAlign w:val="top"/>
          </w:tcPr>
          <w:p>
            <w:pPr>
              <w:spacing w:after="0"/>
            </w:pPr>
            <w:r>
              <w:rPr>
                <w:b w:val="0"/>
                <w:color w:val="1E2430"/>
                <w:sz w:val="16"/>
              </w:rPr>
              <w:t>Sections 18.1 et 18.2; API, mapping, consentement, sandbox.</w:t>
            </w:r>
          </w:p>
        </w:tc>
      </w:tr>
      <w:tr>
        <w:tc>
          <w:tcPr>
            <w:tcW w:type="dxa" w:w="5083"/>
            <w:tcMar>
              <w:top w:w="90" w:type="dxa"/>
              <w:start w:w="90" w:type="dxa"/>
              <w:bottom w:w="90" w:type="dxa"/>
              <w:end w:w="90" w:type="dxa"/>
            </w:tcMar>
            <w:vAlign w:val="top"/>
          </w:tcPr>
          <w:p>
            <w:pPr>
              <w:spacing w:after="0"/>
            </w:pPr>
            <w:r>
              <w:rPr>
                <w:b w:val="0"/>
                <w:color w:val="1E2430"/>
                <w:sz w:val="16"/>
              </w:rPr>
              <w:t>PostgreSQL et stack technique</w:t>
            </w:r>
          </w:p>
        </w:tc>
        <w:tc>
          <w:tcPr>
            <w:tcW w:type="dxa" w:w="5083"/>
            <w:tcMar>
              <w:top w:w="90" w:type="dxa"/>
              <w:start w:w="90" w:type="dxa"/>
              <w:bottom w:w="90" w:type="dxa"/>
              <w:end w:w="90" w:type="dxa"/>
            </w:tcMar>
            <w:vAlign w:val="top"/>
          </w:tcPr>
          <w:p>
            <w:pPr>
              <w:spacing w:after="0"/>
            </w:pPr>
            <w:r>
              <w:rPr>
                <w:b w:val="0"/>
                <w:color w:val="1E2430"/>
                <w:sz w:val="16"/>
              </w:rPr>
              <w:t>Sections 18.3 à 18.9 et 21; architecture, versions, données, BI, résilience, déploiement et critères de recette.</w:t>
            </w:r>
          </w:p>
        </w:tc>
      </w:tr>
      <w:tr>
        <w:tc>
          <w:tcPr>
            <w:tcW w:type="dxa" w:w="3384"/>
            <w:tcMar>
              <w:top w:w="90" w:type="dxa"/>
              <w:start w:w="90" w:type="dxa"/>
              <w:bottom w:w="90" w:type="dxa"/>
              <w:end w:w="90" w:type="dxa"/>
            </w:tcMar>
            <w:vAlign w:val="top"/>
          </w:tcPr>
          <w:p>
            <w:pPr>
              <w:spacing w:after="0"/>
            </w:pPr>
            <w:r>
              <w:rPr>
                <w:b w:val="0"/>
                <w:color w:val="1E2430"/>
                <w:sz w:val="16"/>
              </w:rPr>
              <w:t>PoC et déploiement</w:t>
            </w:r>
          </w:p>
        </w:tc>
        <w:tc>
          <w:tcPr>
            <w:tcW w:type="dxa" w:w="6264"/>
            <w:tcMar>
              <w:top w:w="90" w:type="dxa"/>
              <w:start w:w="90" w:type="dxa"/>
              <w:bottom w:w="90" w:type="dxa"/>
              <w:end w:w="90" w:type="dxa"/>
            </w:tcMar>
            <w:vAlign w:val="top"/>
          </w:tcPr>
          <w:p>
            <w:pPr>
              <w:spacing w:after="0"/>
            </w:pPr>
            <w:r>
              <w:rPr>
                <w:b w:val="0"/>
                <w:color w:val="1E2430"/>
                <w:sz w:val="16"/>
              </w:rPr>
              <w:t>Section 20; périmètre, KPI, recette, formation, Go/No-Go.</w:t>
            </w:r>
          </w:p>
        </w:tc>
      </w:tr>
      <w:tr>
        <w:tc>
          <w:tcPr>
            <w:tcW w:type="dxa" w:w="3384"/>
            <w:tcMar>
              <w:top w:w="90" w:type="dxa"/>
              <w:start w:w="90" w:type="dxa"/>
              <w:bottom w:w="90" w:type="dxa"/>
              <w:end w:w="90" w:type="dxa"/>
            </w:tcMar>
            <w:vAlign w:val="top"/>
          </w:tcPr>
          <w:p>
            <w:pPr>
              <w:spacing w:after="0"/>
            </w:pPr>
            <w:r>
              <w:rPr>
                <w:b w:val="0"/>
                <w:color w:val="1E2430"/>
                <w:sz w:val="16"/>
              </w:rPr>
              <w:t>Souveraineté et réversibilité</w:t>
            </w:r>
          </w:p>
        </w:tc>
        <w:tc>
          <w:tcPr>
            <w:tcW w:type="dxa" w:w="6264"/>
            <w:tcMar>
              <w:top w:w="90" w:type="dxa"/>
              <w:start w:w="90" w:type="dxa"/>
              <w:bottom w:w="90" w:type="dxa"/>
              <w:end w:w="90" w:type="dxa"/>
            </w:tcMar>
            <w:vAlign w:val="top"/>
          </w:tcPr>
          <w:p>
            <w:pPr>
              <w:spacing w:after="0"/>
            </w:pPr>
            <w:r>
              <w:rPr>
                <w:b w:val="0"/>
                <w:color w:val="1E2430"/>
                <w:sz w:val="16"/>
              </w:rPr>
              <w:t>Sections 1, 17 et 20; propriété, portabilité, export complet.</w:t>
            </w:r>
          </w:p>
        </w:tc>
      </w:tr>
    </w:tbl>
    <w:p>
      <w:pPr>
        <w:spacing w:after="20"/>
      </w:pPr>
    </w:p>
    <w:p>
      <w:pPr>
        <w:pStyle w:val="Heading2"/>
      </w:pPr>
      <w:r>
        <w:t>22.2 Priorisation MoSCoW</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5083"/>
        <w:gridCol w:w="5083"/>
      </w:tblGrid>
      <w:tr>
        <w:trPr>
          <w:tblHeader w:val="true"/>
        </w:trPr>
        <w:tc>
          <w:tcPr>
            <w:tcW w:type="dxa" w:w="1944"/>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Priorité</w:t>
            </w:r>
          </w:p>
        </w:tc>
        <w:tc>
          <w:tcPr>
            <w:tcW w:type="dxa" w:w="7704"/>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Définition</w:t>
            </w:r>
          </w:p>
        </w:tc>
      </w:tr>
      <w:tr>
        <w:tc>
          <w:tcPr>
            <w:tcW w:type="dxa" w:w="1944"/>
            <w:tcMar>
              <w:top w:w="90" w:type="dxa"/>
              <w:start w:w="90" w:type="dxa"/>
              <w:bottom w:w="90" w:type="dxa"/>
              <w:end w:w="90" w:type="dxa"/>
            </w:tcMar>
            <w:vAlign w:val="top"/>
          </w:tcPr>
          <w:p>
            <w:r>
              <w:rPr>
                <w:sz w:val="17"/>
              </w:rPr>
              <w:t>Must</w:t>
            </w:r>
          </w:p>
        </w:tc>
        <w:tc>
          <w:tcPr>
            <w:tcW w:type="dxa" w:w="7704"/>
            <w:tcMar>
              <w:top w:w="90" w:type="dxa"/>
              <w:start w:w="90" w:type="dxa"/>
              <w:bottom w:w="90" w:type="dxa"/>
              <w:end w:w="90" w:type="dxa"/>
            </w:tcMar>
            <w:vAlign w:val="top"/>
          </w:tcPr>
          <w:p>
            <w:r>
              <w:rPr>
                <w:sz w:val="17"/>
              </w:rPr>
              <w:t>Indispensable au PoC, à la conformité, à la sécurité ou au fonctionnement du cycle de recouvrement.</w:t>
            </w:r>
          </w:p>
        </w:tc>
      </w:tr>
      <w:tr>
        <w:tc>
          <w:tcPr>
            <w:tcW w:type="dxa" w:w="1944"/>
            <w:tcMar>
              <w:top w:w="90" w:type="dxa"/>
              <w:start w:w="90" w:type="dxa"/>
              <w:bottom w:w="90" w:type="dxa"/>
              <w:end w:w="90" w:type="dxa"/>
            </w:tcMar>
            <w:vAlign w:val="top"/>
          </w:tcPr>
          <w:p>
            <w:r>
              <w:rPr>
                <w:sz w:val="17"/>
              </w:rPr>
              <w:t>Should</w:t>
            </w:r>
          </w:p>
        </w:tc>
        <w:tc>
          <w:tcPr>
            <w:tcW w:type="dxa" w:w="7704"/>
            <w:tcMar>
              <w:top w:w="90" w:type="dxa"/>
              <w:start w:w="90" w:type="dxa"/>
              <w:bottom w:w="90" w:type="dxa"/>
              <w:end w:w="90" w:type="dxa"/>
            </w:tcMar>
            <w:vAlign w:val="top"/>
          </w:tcPr>
          <w:p>
            <w:r>
              <w:rPr>
                <w:sz w:val="17"/>
              </w:rPr>
              <w:t>Très importante pour la généralisation et la qualité de service; peut être différée sur justification.</w:t>
            </w:r>
          </w:p>
        </w:tc>
      </w:tr>
      <w:tr>
        <w:tc>
          <w:tcPr>
            <w:tcW w:type="dxa" w:w="1944"/>
            <w:tcMar>
              <w:top w:w="90" w:type="dxa"/>
              <w:start w:w="90" w:type="dxa"/>
              <w:bottom w:w="90" w:type="dxa"/>
              <w:end w:w="90" w:type="dxa"/>
            </w:tcMar>
            <w:vAlign w:val="top"/>
          </w:tcPr>
          <w:p>
            <w:r>
              <w:rPr>
                <w:sz w:val="17"/>
              </w:rPr>
              <w:t>Could</w:t>
            </w:r>
          </w:p>
        </w:tc>
        <w:tc>
          <w:tcPr>
            <w:tcW w:type="dxa" w:w="7704"/>
            <w:tcMar>
              <w:top w:w="90" w:type="dxa"/>
              <w:start w:w="90" w:type="dxa"/>
              <w:bottom w:w="90" w:type="dxa"/>
              <w:end w:w="90" w:type="dxa"/>
            </w:tcMar>
            <w:vAlign w:val="top"/>
          </w:tcPr>
          <w:p>
            <w:r>
              <w:rPr>
                <w:sz w:val="17"/>
              </w:rPr>
              <w:t>Innovation ou optimisation à valeur élevée, planifiable après stabilisation du socle.</w:t>
            </w:r>
          </w:p>
        </w:tc>
      </w:tr>
      <w:tr>
        <w:tc>
          <w:tcPr>
            <w:tcW w:type="dxa" w:w="1944"/>
            <w:tcMar>
              <w:top w:w="90" w:type="dxa"/>
              <w:start w:w="90" w:type="dxa"/>
              <w:bottom w:w="90" w:type="dxa"/>
              <w:end w:w="90" w:type="dxa"/>
            </w:tcMar>
            <w:vAlign w:val="top"/>
          </w:tcPr>
          <w:p>
            <w:r>
              <w:rPr>
                <w:sz w:val="17"/>
              </w:rPr>
              <w:t>Won’t now</w:t>
            </w:r>
          </w:p>
        </w:tc>
        <w:tc>
          <w:tcPr>
            <w:tcW w:type="dxa" w:w="7704"/>
            <w:tcMar>
              <w:top w:w="90" w:type="dxa"/>
              <w:start w:w="90" w:type="dxa"/>
              <w:bottom w:w="90" w:type="dxa"/>
              <w:end w:w="90" w:type="dxa"/>
            </w:tcMar>
            <w:vAlign w:val="top"/>
          </w:tcPr>
          <w:p>
            <w:r>
              <w:rPr>
                <w:sz w:val="17"/>
              </w:rPr>
              <w:t>Explicitement hors lot initial, conservée dans la roadmap sans engagement immédiat.</w:t>
            </w:r>
          </w:p>
        </w:tc>
      </w:tr>
    </w:tbl>
    <w:p>
      <w:pPr>
        <w:spacing w:after="20"/>
      </w:pPr>
    </w:p>
    <w:p>
      <w:pPr>
        <w:pStyle w:val="Heading2"/>
      </w:pPr>
      <w:r>
        <w:t>22.3 Livrables attendus du prestataire</w:t>
      </w:r>
    </w:p>
    <w:p>
      <w:pPr>
        <w:pStyle w:val="ListBullet"/>
      </w:pPr>
      <w:r>
        <w:t>Dossier d'architecture fonctionnelle et technique conforme à la stack de la section 18, avec diagrammes logique, déploiement, sécurité et flux.</w:t>
      </w:r>
    </w:p>
    <w:p>
      <w:pPr>
        <w:pStyle w:val="ListBullet"/>
      </w:pPr>
      <w:r>
        <w:t>Prototypes UX/UI validés et design system CNPM.</w:t>
      </w:r>
    </w:p>
    <w:p>
      <w:pPr>
        <w:pStyle w:val="ListBullet"/>
      </w:pPr>
      <w:r>
        <w:t>Backlog détaillé avec user stories, critères d’acceptation et dépendances.</w:t>
      </w:r>
    </w:p>
    <w:p>
      <w:pPr>
        <w:pStyle w:val="ListBullet"/>
      </w:pPr>
      <w:r>
        <w:t>Modèle conceptuel et physique PostgreSQL, dictionnaire, schémas, contraintes, index, scripts Flyway, règles de qualité et plan de migration.</w:t>
      </w:r>
    </w:p>
    <w:p>
      <w:pPr>
        <w:pStyle w:val="ListBullet"/>
      </w:pPr>
      <w:r>
        <w:t>Documentation API et contrats d’intégration.</w:t>
      </w:r>
    </w:p>
    <w:p>
      <w:pPr>
        <w:pStyle w:val="ListBullet"/>
      </w:pPr>
      <w:r>
        <w:t>Plan de sécurité, analyse de risques, dossier d'exploitation PostgreSQL, sauvegarde/PITR, supervision, procédures d'exploitation et PRA.</w:t>
      </w:r>
    </w:p>
    <w:p>
      <w:pPr>
        <w:pStyle w:val="ListBullet"/>
      </w:pPr>
      <w:r>
        <w:t>Plan de tests, résultats, rapport de vulnérabilité et PV de recette.</w:t>
      </w:r>
    </w:p>
    <w:p>
      <w:pPr>
        <w:pStyle w:val="ListBullet"/>
      </w:pPr>
      <w:r>
        <w:t>Manuels administrateur, utilisateur, agent de recouvrement et membre.</w:t>
      </w:r>
    </w:p>
    <w:p>
      <w:pPr>
        <w:pStyle w:val="ListBullet"/>
      </w:pPr>
      <w:r>
        <w:t>Plan de formation, supports et transfert de compétences.</w:t>
      </w:r>
    </w:p>
    <w:p>
      <w:pPr>
        <w:pStyle w:val="ListBullet"/>
      </w:pPr>
      <w:r>
        <w:t>Plan de réversibilité testé et inventaire des données exportées.</w:t>
      </w:r>
    </w:p>
    <w:p>
      <w:pPr>
        <w:pStyle w:val="ListBullet"/>
      </w:pPr>
      <w:r>
        <w:t>Matrice des versions, licences, dépendances et fins de support, accompagnée du SBOM de chaque version livrée.</w:t>
      </w:r>
    </w:p>
    <w:p>
      <w:pPr>
        <w:pStyle w:val="Heading2"/>
      </w:pPr>
      <w:r>
        <w:t>22.4 Critères de qualité de la solution</w:t>
      </w:r>
    </w:p>
    <w:tbl>
      <w:tblPr>
        <w:tblW w:type="auto" w:w="0"/>
        <w:jc w:val="center"/>
        <w:tblLayout w:type="fixed"/>
        <w:tblLook w:firstColumn="1" w:firstRow="1" w:lastColumn="0" w:lastRow="0" w:noHBand="0" w:noVBand="1" w:val="04A0"/>
        <w:tblBorders>
          <w:top w:val="nil" w:sz="0" w:space="0" w:color="FFFFFF"/>
          <w:start w:val="nil" w:sz="0" w:space="0" w:color="FFFFFF"/>
          <w:bottom w:val="nil" w:sz="0" w:space="0" w:color="FFFFFF"/>
          <w:end w:val="nil" w:sz="0" w:space="0" w:color="FFFFFF"/>
          <w:insideH w:val="nil" w:sz="0" w:space="0" w:color="FFFFFF"/>
          <w:insideV w:val="nil" w:sz="0" w:space="0" w:color="FFFFFF"/>
        </w:tblBorders>
      </w:tblPr>
      <w:tblGrid>
        <w:gridCol w:w="144"/>
        <w:gridCol w:w="9144"/>
      </w:tblGrid>
      <w:tr>
        <w:tc>
          <w:tcPr>
            <w:tcW w:type="dxa" w:w="5083"/>
          </w:tcPr>
          <w:p/>
        </w:tc>
        <w:tc>
          <w:tcPr>
            <w:tcW w:type="dxa" w:w="5083"/>
            <w:tcMar>
              <w:top w:w="130" w:type="dxa"/>
              <w:start w:w="150" w:type="dxa"/>
              <w:bottom w:w="130" w:type="dxa"/>
              <w:end w:w="150" w:type="dxa"/>
            </w:tcMar>
          </w:tcPr>
          <w:p>
            <w:r>
              <w:rPr>
                <w:b/>
                <w:color w:val="1F7A4D"/>
                <w:sz w:val="20"/>
              </w:rPr>
              <w:t>Condition de réussite</w:t>
            </w:r>
          </w:p>
          <w:p>
            <w:pPr>
              <w:spacing w:after="0"/>
            </w:pPr>
            <w:r>
              <w:t>La plateforme ne sera considérée prête pour généralisation que si le cycle complet est démontré avec des données réelles contrôlées, sans anomalie critique, avec rapprochement explicable, reçus officiels vérifiables, tableaux de bord cohérents et réversibilité testée.</w:t>
            </w:r>
          </w:p>
        </w:tc>
      </w:tr>
    </w:tbl>
    <w:p>
      <w:pPr>
        <w:spacing w:after="20"/>
      </w:pPr>
    </w:p>
    <w:p>
      <w:pPr>
        <w:pStyle w:val="Heading2"/>
      </w:pPr>
      <w:r>
        <w:t>22.5 Référence documentaire</w:t>
      </w:r>
    </w:p>
    <w:p>
      <w:r>
        <w:t>Document source analysé : Conseil National du Patronat du Mali, « Termes de Référence - Mission de digitalisation du recouvrement des cotisations », Bamako, juin 2026, 10 pages. Les exigences du présent document complètent et détaillent ce socle sans en réduire les obligations institutionnelles, financières, de sécurité ou de souveraineté.</w:t>
      </w:r>
    </w:p>
    <w:p>
      <w:pPr>
        <w:pStyle w:val="Heading2"/>
      </w:pPr>
      <w:r>
        <w:t>22.6 Validation</w:t>
      </w:r>
    </w:p>
    <w:tbl>
      <w:tblPr>
        <w:tblStyle w:val="TableGrid"/>
        <w:tblW w:type="auto" w:w="0"/>
        <w:jc w:val="center"/>
        <w:tblLayout w:type="fixed"/>
        <w:tblLook w:firstColumn="1" w:firstRow="1" w:lastColumn="0" w:lastRow="0" w:noHBand="0" w:noVBand="1" w:val="04A0"/>
        <w:tblBorders>
          <w:top w:val="single" w:sz="4" w:space="0" w:color="D9DEE7"/>
          <w:start w:val="single" w:sz="4" w:space="0" w:color="D9DEE7"/>
          <w:bottom w:val="single" w:sz="4" w:space="0" w:color="D9DEE7"/>
          <w:end w:val="single" w:sz="4" w:space="0" w:color="D9DEE7"/>
          <w:insideH w:val="single" w:sz="3" w:space="0" w:color="E7EAF0"/>
          <w:insideV w:val="single" w:sz="3" w:space="0" w:color="E7EAF0"/>
        </w:tblBorders>
      </w:tblPr>
      <w:tblGrid>
        <w:gridCol w:w="2541"/>
        <w:gridCol w:w="2541"/>
        <w:gridCol w:w="2541"/>
        <w:gridCol w:w="2541"/>
      </w:tblGrid>
      <w:tr>
        <w:trPr>
          <w:tblHeader w:val="true"/>
        </w:trPr>
        <w:tc>
          <w:tcPr>
            <w:tcW w:type="dxa" w:w="3024"/>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Rôle</w:t>
            </w:r>
          </w:p>
        </w:tc>
        <w:tc>
          <w:tcPr>
            <w:tcW w:type="dxa" w:w="3024"/>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Nom</w:t>
            </w:r>
          </w:p>
        </w:tc>
        <w:tc>
          <w:tcPr>
            <w:tcW w:type="dxa" w:w="1656"/>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Date</w:t>
            </w:r>
          </w:p>
        </w:tc>
        <w:tc>
          <w:tcPr>
            <w:tcW w:type="dxa" w:w="1656"/>
            <w:vAlign w:val="center"/>
            <w:tcMar>
              <w:top w:w="90" w:type="dxa"/>
              <w:start w:w="90" w:type="dxa"/>
              <w:bottom w:w="90" w:type="dxa"/>
              <w:end w:w="90" w:type="dxa"/>
            </w:tcMar>
            <w:tcBorders>
              <w:top w:val="single" w:sz="8" w:space="0" w:color="273481"/>
              <w:bottom w:val="single" w:sz="9" w:space="0" w:color="273481"/>
              <w:start w:val="single" w:sz="3" w:space="0" w:color="E7EAF0"/>
              <w:end w:val="single" w:sz="3" w:space="0" w:color="E7EAF0"/>
            </w:tcBorders>
          </w:tcPr>
          <w:p>
            <w:r>
              <w:rPr>
                <w:b/>
                <w:color w:val="273481"/>
                <w:sz w:val="17"/>
              </w:rPr>
              <w:t>Visa</w:t>
            </w:r>
          </w:p>
        </w:tc>
      </w:tr>
      <w:tr>
        <w:tc>
          <w:tcPr>
            <w:tcW w:type="dxa" w:w="3024"/>
            <w:tcMar>
              <w:top w:w="90" w:type="dxa"/>
              <w:start w:w="90" w:type="dxa"/>
              <w:bottom w:w="90" w:type="dxa"/>
              <w:end w:w="90" w:type="dxa"/>
            </w:tcMar>
            <w:vAlign w:val="top"/>
          </w:tcPr>
          <w:p>
            <w:r>
              <w:rPr>
                <w:sz w:val="17"/>
              </w:rPr>
              <w:t>Commanditaire CNPM</w:t>
            </w:r>
          </w:p>
        </w:tc>
        <w:tc>
          <w:tcPr>
            <w:tcW w:type="dxa" w:w="3024"/>
            <w:tcMar>
              <w:top w:w="90" w:type="dxa"/>
              <w:start w:w="90" w:type="dxa"/>
              <w:bottom w:w="90" w:type="dxa"/>
              <w:end w:w="90" w:type="dxa"/>
            </w:tcMar>
            <w:vAlign w:val="top"/>
          </w:tcPr>
          <w:p>
            <w:r>
              <w:rPr>
                <w:sz w:val="17"/>
              </w:rPr>
            </w:r>
          </w:p>
        </w:tc>
        <w:tc>
          <w:tcPr>
            <w:tcW w:type="dxa" w:w="1656"/>
            <w:tcMar>
              <w:top w:w="90" w:type="dxa"/>
              <w:start w:w="90" w:type="dxa"/>
              <w:bottom w:w="90" w:type="dxa"/>
              <w:end w:w="90" w:type="dxa"/>
            </w:tcMar>
            <w:vAlign w:val="top"/>
          </w:tcPr>
          <w:p>
            <w:r>
              <w:rPr>
                <w:sz w:val="17"/>
              </w:rPr>
            </w:r>
          </w:p>
        </w:tc>
        <w:tc>
          <w:tcPr>
            <w:tcW w:type="dxa" w:w="1656"/>
            <w:tcMar>
              <w:top w:w="90" w:type="dxa"/>
              <w:start w:w="90" w:type="dxa"/>
              <w:bottom w:w="90" w:type="dxa"/>
              <w:end w:w="90" w:type="dxa"/>
            </w:tcMar>
            <w:vAlign w:val="top"/>
          </w:tcPr>
          <w:p>
            <w:r>
              <w:rPr>
                <w:sz w:val="17"/>
              </w:rPr>
            </w:r>
          </w:p>
        </w:tc>
      </w:tr>
      <w:tr>
        <w:tc>
          <w:tcPr>
            <w:tcW w:type="dxa" w:w="3024"/>
            <w:tcMar>
              <w:top w:w="90" w:type="dxa"/>
              <w:start w:w="90" w:type="dxa"/>
              <w:bottom w:w="90" w:type="dxa"/>
              <w:end w:w="90" w:type="dxa"/>
            </w:tcMar>
            <w:vAlign w:val="top"/>
          </w:tcPr>
          <w:p>
            <w:r>
              <w:rPr>
                <w:sz w:val="17"/>
              </w:rPr>
              <w:t>Secrétariat général</w:t>
            </w:r>
          </w:p>
        </w:tc>
        <w:tc>
          <w:tcPr>
            <w:tcW w:type="dxa" w:w="3024"/>
            <w:tcMar>
              <w:top w:w="90" w:type="dxa"/>
              <w:start w:w="90" w:type="dxa"/>
              <w:bottom w:w="90" w:type="dxa"/>
              <w:end w:w="90" w:type="dxa"/>
            </w:tcMar>
            <w:vAlign w:val="top"/>
          </w:tcPr>
          <w:p>
            <w:r>
              <w:rPr>
                <w:sz w:val="17"/>
              </w:rPr>
            </w:r>
          </w:p>
        </w:tc>
        <w:tc>
          <w:tcPr>
            <w:tcW w:type="dxa" w:w="1656"/>
            <w:tcMar>
              <w:top w:w="90" w:type="dxa"/>
              <w:start w:w="90" w:type="dxa"/>
              <w:bottom w:w="90" w:type="dxa"/>
              <w:end w:w="90" w:type="dxa"/>
            </w:tcMar>
            <w:vAlign w:val="top"/>
          </w:tcPr>
          <w:p>
            <w:r>
              <w:rPr>
                <w:sz w:val="17"/>
              </w:rPr>
            </w:r>
          </w:p>
        </w:tc>
        <w:tc>
          <w:tcPr>
            <w:tcW w:type="dxa" w:w="1656"/>
            <w:tcMar>
              <w:top w:w="90" w:type="dxa"/>
              <w:start w:w="90" w:type="dxa"/>
              <w:bottom w:w="90" w:type="dxa"/>
              <w:end w:w="90" w:type="dxa"/>
            </w:tcMar>
            <w:vAlign w:val="top"/>
          </w:tcPr>
          <w:p>
            <w:r>
              <w:rPr>
                <w:sz w:val="17"/>
              </w:rPr>
            </w:r>
          </w:p>
        </w:tc>
      </w:tr>
      <w:tr>
        <w:tc>
          <w:tcPr>
            <w:tcW w:type="dxa" w:w="3024"/>
            <w:tcMar>
              <w:top w:w="90" w:type="dxa"/>
              <w:start w:w="90" w:type="dxa"/>
              <w:bottom w:w="90" w:type="dxa"/>
              <w:end w:w="90" w:type="dxa"/>
            </w:tcMar>
            <w:vAlign w:val="top"/>
          </w:tcPr>
          <w:p>
            <w:r>
              <w:rPr>
                <w:sz w:val="17"/>
              </w:rPr>
              <w:t>Direction financière</w:t>
            </w:r>
          </w:p>
        </w:tc>
        <w:tc>
          <w:tcPr>
            <w:tcW w:type="dxa" w:w="3024"/>
            <w:tcMar>
              <w:top w:w="90" w:type="dxa"/>
              <w:start w:w="90" w:type="dxa"/>
              <w:bottom w:w="90" w:type="dxa"/>
              <w:end w:w="90" w:type="dxa"/>
            </w:tcMar>
            <w:vAlign w:val="top"/>
          </w:tcPr>
          <w:p>
            <w:r>
              <w:rPr>
                <w:sz w:val="17"/>
              </w:rPr>
            </w:r>
          </w:p>
        </w:tc>
        <w:tc>
          <w:tcPr>
            <w:tcW w:type="dxa" w:w="1656"/>
            <w:tcMar>
              <w:top w:w="90" w:type="dxa"/>
              <w:start w:w="90" w:type="dxa"/>
              <w:bottom w:w="90" w:type="dxa"/>
              <w:end w:w="90" w:type="dxa"/>
            </w:tcMar>
            <w:vAlign w:val="top"/>
          </w:tcPr>
          <w:p>
            <w:r>
              <w:rPr>
                <w:sz w:val="17"/>
              </w:rPr>
            </w:r>
          </w:p>
        </w:tc>
        <w:tc>
          <w:tcPr>
            <w:tcW w:type="dxa" w:w="1656"/>
            <w:tcMar>
              <w:top w:w="90" w:type="dxa"/>
              <w:start w:w="90" w:type="dxa"/>
              <w:bottom w:w="90" w:type="dxa"/>
              <w:end w:w="90" w:type="dxa"/>
            </w:tcMar>
            <w:vAlign w:val="top"/>
          </w:tcPr>
          <w:p>
            <w:r>
              <w:rPr>
                <w:sz w:val="17"/>
              </w:rPr>
            </w:r>
          </w:p>
        </w:tc>
      </w:tr>
      <w:tr>
        <w:tc>
          <w:tcPr>
            <w:tcW w:type="dxa" w:w="3024"/>
            <w:tcMar>
              <w:top w:w="90" w:type="dxa"/>
              <w:start w:w="90" w:type="dxa"/>
              <w:bottom w:w="90" w:type="dxa"/>
              <w:end w:w="90" w:type="dxa"/>
            </w:tcMar>
            <w:vAlign w:val="top"/>
          </w:tcPr>
          <w:p>
            <w:r>
              <w:rPr>
                <w:sz w:val="17"/>
              </w:rPr>
              <w:t>Responsable métier membres</w:t>
            </w:r>
          </w:p>
        </w:tc>
        <w:tc>
          <w:tcPr>
            <w:tcW w:type="dxa" w:w="3024"/>
            <w:tcMar>
              <w:top w:w="90" w:type="dxa"/>
              <w:start w:w="90" w:type="dxa"/>
              <w:bottom w:w="90" w:type="dxa"/>
              <w:end w:w="90" w:type="dxa"/>
            </w:tcMar>
            <w:vAlign w:val="top"/>
          </w:tcPr>
          <w:p>
            <w:r>
              <w:rPr>
                <w:sz w:val="17"/>
              </w:rPr>
            </w:r>
          </w:p>
        </w:tc>
        <w:tc>
          <w:tcPr>
            <w:tcW w:type="dxa" w:w="1656"/>
            <w:tcMar>
              <w:top w:w="90" w:type="dxa"/>
              <w:start w:w="90" w:type="dxa"/>
              <w:bottom w:w="90" w:type="dxa"/>
              <w:end w:w="90" w:type="dxa"/>
            </w:tcMar>
            <w:vAlign w:val="top"/>
          </w:tcPr>
          <w:p>
            <w:r>
              <w:rPr>
                <w:sz w:val="17"/>
              </w:rPr>
            </w:r>
          </w:p>
        </w:tc>
        <w:tc>
          <w:tcPr>
            <w:tcW w:type="dxa" w:w="1656"/>
            <w:tcMar>
              <w:top w:w="90" w:type="dxa"/>
              <w:start w:w="90" w:type="dxa"/>
              <w:bottom w:w="90" w:type="dxa"/>
              <w:end w:w="90" w:type="dxa"/>
            </w:tcMar>
            <w:vAlign w:val="top"/>
          </w:tcPr>
          <w:p>
            <w:r>
              <w:rPr>
                <w:sz w:val="17"/>
              </w:rPr>
            </w:r>
          </w:p>
        </w:tc>
      </w:tr>
      <w:tr>
        <w:tc>
          <w:tcPr>
            <w:tcW w:type="dxa" w:w="3024"/>
            <w:tcMar>
              <w:top w:w="90" w:type="dxa"/>
              <w:start w:w="90" w:type="dxa"/>
              <w:bottom w:w="90" w:type="dxa"/>
              <w:end w:w="90" w:type="dxa"/>
            </w:tcMar>
            <w:vAlign w:val="top"/>
          </w:tcPr>
          <w:p>
            <w:r>
              <w:rPr>
                <w:sz w:val="17"/>
              </w:rPr>
              <w:t>Responsable sécurité / SI</w:t>
            </w:r>
          </w:p>
        </w:tc>
        <w:tc>
          <w:tcPr>
            <w:tcW w:type="dxa" w:w="3024"/>
            <w:tcMar>
              <w:top w:w="90" w:type="dxa"/>
              <w:start w:w="90" w:type="dxa"/>
              <w:bottom w:w="90" w:type="dxa"/>
              <w:end w:w="90" w:type="dxa"/>
            </w:tcMar>
            <w:vAlign w:val="top"/>
          </w:tcPr>
          <w:p>
            <w:r>
              <w:rPr>
                <w:sz w:val="17"/>
              </w:rPr>
            </w:r>
          </w:p>
        </w:tc>
        <w:tc>
          <w:tcPr>
            <w:tcW w:type="dxa" w:w="1656"/>
            <w:tcMar>
              <w:top w:w="90" w:type="dxa"/>
              <w:start w:w="90" w:type="dxa"/>
              <w:bottom w:w="90" w:type="dxa"/>
              <w:end w:w="90" w:type="dxa"/>
            </w:tcMar>
            <w:vAlign w:val="top"/>
          </w:tcPr>
          <w:p>
            <w:r>
              <w:rPr>
                <w:sz w:val="17"/>
              </w:rPr>
            </w:r>
          </w:p>
        </w:tc>
        <w:tc>
          <w:tcPr>
            <w:tcW w:type="dxa" w:w="1656"/>
            <w:tcMar>
              <w:top w:w="90" w:type="dxa"/>
              <w:start w:w="90" w:type="dxa"/>
              <w:bottom w:w="90" w:type="dxa"/>
              <w:end w:w="90" w:type="dxa"/>
            </w:tcMar>
            <w:vAlign w:val="top"/>
          </w:tcPr>
          <w:p>
            <w:r>
              <w:rPr>
                <w:sz w:val="17"/>
              </w:rPr>
            </w:r>
          </w:p>
        </w:tc>
      </w:tr>
      <w:tr>
        <w:tc>
          <w:tcPr>
            <w:tcW w:type="dxa" w:w="3024"/>
            <w:tcMar>
              <w:top w:w="90" w:type="dxa"/>
              <w:start w:w="90" w:type="dxa"/>
              <w:bottom w:w="90" w:type="dxa"/>
              <w:end w:w="90" w:type="dxa"/>
            </w:tcMar>
            <w:vAlign w:val="top"/>
          </w:tcPr>
          <w:p>
            <w:r>
              <w:rPr>
                <w:sz w:val="17"/>
              </w:rPr>
              <w:t>Prestataire / Chef de projet</w:t>
            </w:r>
          </w:p>
        </w:tc>
        <w:tc>
          <w:tcPr>
            <w:tcW w:type="dxa" w:w="3024"/>
            <w:tcMar>
              <w:top w:w="90" w:type="dxa"/>
              <w:start w:w="90" w:type="dxa"/>
              <w:bottom w:w="90" w:type="dxa"/>
              <w:end w:w="90" w:type="dxa"/>
            </w:tcMar>
            <w:vAlign w:val="top"/>
          </w:tcPr>
          <w:p>
            <w:r>
              <w:rPr>
                <w:sz w:val="17"/>
              </w:rPr>
            </w:r>
          </w:p>
        </w:tc>
        <w:tc>
          <w:tcPr>
            <w:tcW w:type="dxa" w:w="1656"/>
            <w:tcMar>
              <w:top w:w="90" w:type="dxa"/>
              <w:start w:w="90" w:type="dxa"/>
              <w:bottom w:w="90" w:type="dxa"/>
              <w:end w:w="90" w:type="dxa"/>
            </w:tcMar>
            <w:vAlign w:val="top"/>
          </w:tcPr>
          <w:p>
            <w:r>
              <w:rPr>
                <w:sz w:val="17"/>
              </w:rPr>
            </w:r>
          </w:p>
        </w:tc>
        <w:tc>
          <w:tcPr>
            <w:tcW w:type="dxa" w:w="1656"/>
            <w:tcMar>
              <w:top w:w="90" w:type="dxa"/>
              <w:start w:w="90" w:type="dxa"/>
              <w:bottom w:w="90" w:type="dxa"/>
              <w:end w:w="90" w:type="dxa"/>
            </w:tcMar>
            <w:vAlign w:val="top"/>
          </w:tcPr>
          <w:p>
            <w:r>
              <w:rPr>
                <w:sz w:val="17"/>
              </w:rPr>
            </w:r>
          </w:p>
        </w:tc>
      </w:tr>
    </w:tbl>
    <w:p>
      <w:pPr>
        <w:spacing w:after="20"/>
      </w:pPr>
    </w:p>
    <w:p>
      <w:r>
        <w:br w:type="page"/>
      </w:r>
    </w:p>
    <w:p>
      <w:pPr>
        <w:jc w:val="center"/>
      </w:pPr>
      <w:r>
        <w:drawing>
          <wp:inline xmlns:a="http://schemas.openxmlformats.org/drawingml/2006/main" xmlns:pic="http://schemas.openxmlformats.org/drawingml/2006/picture">
            <wp:extent cx="2194560" cy="1550822"/>
            <wp:docPr id="2" name="Picture 2"/>
            <wp:cNvGraphicFramePr>
              <a:graphicFrameLocks noChangeAspect="1"/>
            </wp:cNvGraphicFramePr>
            <a:graphic>
              <a:graphicData uri="http://schemas.openxmlformats.org/drawingml/2006/picture">
                <pic:pic>
                  <pic:nvPicPr>
                    <pic:cNvPr id="0" name="logo-CNPM-1.png"/>
                    <pic:cNvPicPr/>
                  </pic:nvPicPr>
                  <pic:blipFill>
                    <a:blip r:embed="rId11"/>
                    <a:stretch>
                      <a:fillRect/>
                    </a:stretch>
                  </pic:blipFill>
                  <pic:spPr>
                    <a:xfrm>
                      <a:off x="0" y="0"/>
                      <a:ext cx="2194560" cy="1550822"/>
                    </a:xfrm>
                    <a:prstGeom prst="rect"/>
                  </pic:spPr>
                </pic:pic>
              </a:graphicData>
            </a:graphic>
          </wp:inline>
        </w:drawing>
      </w:r>
    </w:p>
    <w:p>
      <w:pPr>
        <w:jc w:val="center"/>
      </w:pPr>
      <w:r>
        <w:rPr>
          <w:b/>
          <w:color w:val="273481"/>
          <w:sz w:val="34"/>
        </w:rPr>
        <w:t>Plateforme intégrée de gestion des membres et cotisations</w:t>
      </w:r>
    </w:p>
    <w:p>
      <w:pPr>
        <w:jc w:val="center"/>
      </w:pPr>
      <w:r>
        <w:rPr>
          <w:i/>
          <w:color w:val="E30B1F"/>
          <w:sz w:val="22"/>
        </w:rPr>
        <w:t>Un outil institutionnel moderne pour mobiliser, servir et piloter.</w:t>
      </w:r>
    </w:p>
    <w:p/>
    <w:p/>
    <w:p/>
    <w:p/>
    <w:p/>
    <w:p/>
    <w:p/>
    <w:p/>
    <w:p>
      <w:pPr>
        <w:jc w:val="center"/>
      </w:pPr>
      <w:r>
        <w:rPr>
          <w:b/>
          <w:color w:val="273481"/>
          <w:sz w:val="24"/>
        </w:rPr>
        <w:t>CONSEIL NATIONAL DU PATRONAT DU MALI</w:t>
      </w:r>
    </w:p>
    <w:p>
      <w:pPr>
        <w:jc w:val="center"/>
      </w:pPr>
      <w:r>
        <w:rPr>
          <w:color w:val="5B6475"/>
          <w:sz w:val="18"/>
        </w:rPr>
        <w:t>Spécifications fonctionnelles détaillées - Version 1.1</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7488"/>
      <w:gridCol w:w="2016"/>
    </w:tblGrid>
    <w:tr>
      <w:tc>
        <w:tcPr>
          <w:tcW w:type="dxa" w:w="4752"/>
        </w:tcPr>
        <w:p>
          <w:r>
            <w:rPr>
              <w:color w:val="5B6475"/>
              <w:sz w:val="16"/>
            </w:rPr>
            <w:t>Spécifications fonctionnelles détaillées - Version 1.1 - Juillet 2026</w:t>
          </w:r>
        </w:p>
      </w:tc>
      <w:tc>
        <w:tcPr>
          <w:tcW w:type="dxa" w:w="4752"/>
        </w:tcPr>
        <w:p>
          <w:pPr>
            <w:jc w:val="right"/>
          </w:pPr>
          <w:r>
            <w:rPr>
              <w:color w:val="5B6475"/>
              <w:sz w:val="16"/>
            </w:rPr>
            <w:t xml:space="preserve">Page </w:t>
          </w:r>
          <w:r>
            <w:fldChar w:fldCharType="begin"/>
          </w:r>
          <w:r>
            <w:instrText xml:space="preserve">PAGE</w:instrText>
          </w:r>
          <w:r>
            <w:fldChar w:fldCharType="separate"/>
          </w:r>
          <w:r>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6912"/>
      <w:gridCol w:w="2592"/>
    </w:tblGrid>
    <w:tr>
      <w:tc>
        <w:tcPr>
          <w:tcW w:type="dxa" w:w="4752"/>
        </w:tcPr>
        <w:p>
          <w:r>
            <w:rPr>
              <w:b/>
              <w:color w:val="273481"/>
              <w:sz w:val="16"/>
            </w:rPr>
            <w:t>CNPM - Plateforme intégrée de gestion des membres et cotisations</w:t>
          </w:r>
        </w:p>
      </w:tc>
      <w:tc>
        <w:tcPr>
          <w:tcW w:type="dxa" w:w="4752"/>
        </w:tcPr>
        <w:p>
          <w:pPr>
            <w:jc w:val="right"/>
          </w:pPr>
          <w:r>
            <w:drawing>
              <wp:inline xmlns:a="http://schemas.openxmlformats.org/drawingml/2006/main" xmlns:pic="http://schemas.openxmlformats.org/drawingml/2006/picture">
                <wp:extent cx="685800" cy="484632"/>
                <wp:docPr id="1" name="Picture 1"/>
                <wp:cNvGraphicFramePr>
                  <a:graphicFrameLocks noChangeAspect="1"/>
                </wp:cNvGraphicFramePr>
                <a:graphic>
                  <a:graphicData uri="http://schemas.openxmlformats.org/drawingml/2006/picture">
                    <pic:pic>
                      <pic:nvPicPr>
                        <pic:cNvPr id="0" name="logo-CNPM-1.png"/>
                        <pic:cNvPicPr/>
                      </pic:nvPicPr>
                      <pic:blipFill>
                        <a:blip r:embed="rId1"/>
                        <a:stretch>
                          <a:fillRect/>
                        </a:stretch>
                      </pic:blipFill>
                      <pic:spPr>
                        <a:xfrm>
                          <a:off x="0" y="0"/>
                          <a:ext cx="685800" cy="48463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E24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273481"/>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E30B1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73481"/>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ptos" w:hAnsi="Aptos"/>
      <w:b/>
      <w:bCs/>
      <w:i/>
      <w:iCs/>
      <w:color w:val="5B647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27348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rPr>
      <w:rFonts w:ascii="Aptos" w:hAnsi="Aptos"/>
      <w:b/>
      <w:color w:val="E30B1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Spécifications fonctionnelles détaillées - Plateforme Web &amp; Mobile CNPM</dc:title>
  <dc:subject>Gestion des membres, cotisations, portail membre, décisionnel et architecture PostgreSQL</dc:subject>
  <dc:creator>Conseil National du Patronat du Mali (CNPM)</dc:creator>
  <cp:keywords>CNPM, membres, cotisations, PostgreSQL, Java, Spring Boot, Angular, Flutter, Keycloak, BI</cp:keywords>
  <dc:description/>
  <cp:lastModifiedBy>Équipe projet CNPM</cp:lastModifiedBy>
  <cp:revision>2</cp:revision>
  <dcterms:created xsi:type="dcterms:W3CDTF">2013-12-23T23:15:00Z</dcterms:created>
  <dcterms:modified xsi:type="dcterms:W3CDTF">2013-12-23T23:15:00Z</dcterms:modified>
  <cp:category/>
</cp:coreProperties>
</file>