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keepLines/>
      </w:pPr>
      <w:r>
        <w:drawing>
          <wp:inline xmlns:a="http://schemas.openxmlformats.org/drawingml/2006/main" xmlns:pic="http://schemas.openxmlformats.org/drawingml/2006/picture">
            <wp:extent cx="2232000" cy="1577280"/>
            <wp:docPr id="1" name="Picture 1" title="Logo CNPM" descr="Logo institutionnel du Conseil National du Patronat du Mali"/>
            <wp:cNvGraphicFramePr>
              <a:graphicFrameLocks noChangeAspect="1"/>
            </wp:cNvGraphicFramePr>
            <a:graphic>
              <a:graphicData uri="http://schemas.openxmlformats.org/drawingml/2006/picture">
                <pic:pic>
                  <pic:nvPicPr>
                    <pic:cNvPr id="0" name="logo-CNPM.png"/>
                    <pic:cNvPicPr/>
                  </pic:nvPicPr>
                  <pic:blipFill>
                    <a:blip r:embed="rId9"/>
                    <a:stretch>
                      <a:fillRect/>
                    </a:stretch>
                  </pic:blipFill>
                  <pic:spPr>
                    <a:xfrm>
                      <a:off x="0" y="0"/>
                      <a:ext cx="2232000" cy="1577280"/>
                    </a:xfrm>
                    <a:prstGeom prst="rect"/>
                  </pic:spPr>
                </pic:pic>
              </a:graphicData>
            </a:graphic>
          </wp:inline>
        </w:drawing>
      </w:r>
    </w:p>
    <w:p>
      <w:pPr>
        <w:spacing w:before="160" w:after="120"/>
        <w:jc w:val="center"/>
        <w:keepLines/>
      </w:pPr>
      <w:r>
        <w:rPr>
          <w:rFonts w:ascii="Lato" w:hAnsi="Lato"/>
          <w:b/>
          <w:color w:val="1F3A93"/>
          <w:sz w:val="54"/>
        </w:rPr>
        <w:t>DOSSIER DE CONCEPTION</w:t>
        <w:br/>
        <w:t>TECHNIQUE DÉTAILLÉE</w:t>
      </w:r>
    </w:p>
    <w:p>
      <w:pPr>
        <w:spacing w:after="360"/>
        <w:jc w:val="center"/>
        <w:keepLines/>
      </w:pPr>
      <w:r>
        <w:rPr>
          <w:rFonts w:ascii="Lato" w:hAnsi="Lato"/>
          <w:color w:val="1A1D24"/>
          <w:sz w:val="30"/>
        </w:rPr>
        <w:t>Plateforme Web et mobile de gestion des membres,</w:t>
        <w:br/>
        <w:t>des cotisations et des services du CNPM</w:t>
      </w:r>
    </w:p>
    <w:p>
      <w:pPr>
        <w:spacing w:before="120"/>
        <w:pBdr>
          <w:bottom w:val="single" w:sz="16" w:space="4" w:color="E30613"/>
        </w:pBdr>
        <w:keepLines/>
      </w:pPr>
    </w:p>
    <w:tbl>
      <w:tblPr>
        <w:tblW w:type="auto" w:w="0"/>
        <w:jc w:val="center"/>
        <w:tblLayout w:type="fixed"/>
        <w:tblLook w:firstColumn="1" w:firstRow="1" w:lastColumn="0" w:lastRow="0" w:noHBand="0" w:noVBand="1" w:val="04A0"/>
      </w:tblPr>
      <w:tblGrid>
        <w:gridCol w:w="4986"/>
        <w:gridCol w:w="4986"/>
      </w:tblGrid>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Document</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CNPM-DCTD-001</w:t>
            </w:r>
          </w:p>
        </w:tc>
        <w:trPr>
          <w:tblHeader/>
        </w:trPr>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Version</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1.0</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Date</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15 juillet 2026</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Statut</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Baseline de conception à valider</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Base de données</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PostgreSQL - source de vérité unique</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color w:val="1F3A93"/>
                <w:sz w:val="19"/>
              </w:rPr>
              <w:t>Classification</w:t>
            </w:r>
          </w:p>
        </w:tc>
        <w:tc>
          <w:tcPr>
            <w:tcW w:type="dxa" w:w="538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9"/>
              </w:rPr>
              <w:t>Usage interne CNPM / partenaires autorisés</w:t>
            </w:r>
          </w:p>
        </w:tc>
      </w:tr>
    </w:tbl>
    <w:p>
      <w:pPr>
        <w:keepLines/>
      </w:pPr>
    </w:p>
    <w:p>
      <w:pPr>
        <w:spacing w:before="320"/>
        <w:jc w:val="center"/>
        <w:keepLines/>
      </w:pPr>
      <w:r>
        <w:rPr>
          <w:rFonts w:ascii="Lato" w:hAnsi="Lato"/>
          <w:color w:val="5D6470"/>
          <w:sz w:val="21"/>
        </w:rPr>
        <w:t>Pack de conception et d’exécution pour les équipes de développement et Claude Code</w:t>
      </w:r>
    </w:p>
    <w:p>
      <w:pPr>
        <w:spacing w:before="800"/>
        <w:jc w:val="center"/>
        <w:keepLines/>
      </w:pPr>
      <w:r>
        <w:rPr>
          <w:rFonts w:ascii="Lato" w:hAnsi="Lato"/>
          <w:b/>
          <w:color w:val="1F3A93"/>
          <w:sz w:val="22"/>
        </w:rPr>
        <w:t>CONSEIL NATIONAL DU PATRONAT DU MALI</w:t>
      </w:r>
    </w:p>
    <w:p>
      <w:pPr>
        <w:keepLines/>
      </w:pPr>
      <w:r>
        <w:br w:type="page"/>
      </w:r>
    </w:p>
    <w:p>
      <w:pPr>
        <w:pStyle w:val="Heading1"/>
        <w:pageBreakBefore w:val="0"/>
        <w:pBdr>
          <w:bottom w:val="single" w:sz="8" w:space="4" w:color="E30613"/>
        </w:pBdr>
        <w:keepNext/>
      </w:pPr>
      <w:r>
        <w:t>Sommaire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24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Section</w:t>
            </w:r>
          </w:p>
        </w:tc>
        <w:tc>
          <w:tcPr>
            <w:tcW w:type="dxa" w:w="793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Intitulé</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Gouvernance documentaire</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2</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Résumé exécutif</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3</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Périmètre, couverture et acteurs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4</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Architecture cible</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5</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Découpage modulaire et frontières de domaine</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6</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Architecture des données PostgreSQL</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7</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API, événements et intégrations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8</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Sécurité, identité et habilitations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9</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Processus métier et machines d’état</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10</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Expérience Web, mobile et faible connectivité</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11</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Décisionnel, rapports et alertes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12</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Gestion électronique des documents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13</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DevSecOps, environnements et déploiement</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14</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Observabilité et exploitation</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15</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Stratégie de tests, recette et qualité</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16</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Migration, PoC et trajectoire de déploiement</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17</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Continuité, PRA et réversibilité</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18</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Modèle d’exécution Claude Code</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19</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Risques, hypothèses et décisions ouvertes</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20</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Critères d’acceptation de l’architecture</w:t>
            </w:r>
          </w:p>
        </w:tc>
      </w:tr>
      <w:tr>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A-C</w:t>
            </w:r>
          </w:p>
        </w:tc>
        <w:tc>
          <w:tcPr>
            <w:tcW w:type="dxa" w:w="79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Annexes documentaires et glossaire</w:t>
            </w:r>
          </w:p>
        </w:tc>
      </w:tr>
    </w:tbl>
    <w:p>
      <w:pPr>
        <w:spacing w:after="0"/>
        <w:keepLines/>
      </w:pPr>
    </w:p>
    <w:p>
      <w:pPr>
        <w:spacing w:before="100" w:after="140"/>
        <w:ind w:left="198" w:right="85"/>
        <w:pBdr>
          <w:bottom w:val="single" w:sz="6" w:space="3" w:color="1F3A93"/>
        </w:pBdr>
        <w:keepLines/>
      </w:pPr>
      <w:r>
        <w:rPr>
          <w:b/>
          <w:color w:val="1F3A93"/>
        </w:rPr>
        <w:t xml:space="preserve">Navigation - </w:t>
      </w:r>
      <w:r>
        <w:rPr>
          <w:color w:val="1A1D24"/>
        </w:rPr>
        <w:t>La version Word conserve des styles de titres permettant de générer une table des matières dynamique dans l’outil bureautique du CNPM.</w:t>
      </w:r>
    </w:p>
    <w:p>
      <w:pPr>
        <w:keepLines/>
      </w:pPr>
      <w:r>
        <w:br w:type="page"/>
      </w:r>
    </w:p>
    <w:p>
      <w:pPr>
        <w:pStyle w:val="Heading1"/>
        <w:pageBreakBefore w:val="0"/>
        <w:pBdr>
          <w:bottom w:val="single" w:sz="8" w:space="4" w:color="E30613"/>
        </w:pBdr>
        <w:keepNext/>
      </w:pPr>
      <w:r>
        <w:t>1. Gouvernance documentaire</w:t>
      </w:r>
    </w:p>
    <w:p>
      <w:pPr>
        <w:keepLines/>
      </w:pPr>
      <w:r>
        <w:t>Ce dossier constitue la baseline technique de réalisation. Il complète le TDR et les spécifications fonctionnelles sans les remplacer. Toute évolution structurante doit être approuvée et enregistrée dans un Architecture Decision Record (ADR).</w:t>
      </w:r>
    </w:p>
    <w:p>
      <w:pPr>
        <w:pStyle w:val="Heading2"/>
        <w:keepNext/>
      </w:pPr>
      <w:r>
        <w:t>1.1 Identification et validation</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38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Attribut</w:t>
            </w:r>
          </w:p>
        </w:tc>
        <w:tc>
          <w:tcPr>
            <w:tcW w:type="dxa" w:w="6803"/>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Valeur</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Titre</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Dossier de conception technique détaillée - Plateforme digitale CNPM</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Référence</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CNPM-DCTD-001</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Version</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1.0</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Statut</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Baseline de conception à valider</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Propriétaire</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Conseil National du Patronat du Mali</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Audience</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Comité de pilotage, DSI, finance, sécurité, équipes produit et développement</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Base de données</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PostgreSQL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Documents associés</w:t>
            </w:r>
          </w:p>
        </w:tc>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8"/>
              </w:rPr>
              <w:t>TDR, spécifications fonctionnelles v1.1, OpenAPI, AsyncAPI, RBAC, backlog, dictionnaire de données</w:t>
            </w:r>
          </w:p>
        </w:tc>
      </w:tr>
    </w:tbl>
    <w:p>
      <w:pPr>
        <w:spacing w:after="0"/>
        <w:keepLines/>
      </w:pPr>
    </w:p>
    <w:p>
      <w:pPr>
        <w:pStyle w:val="Heading2"/>
        <w:keepNext/>
      </w:pPr>
      <w:r>
        <w:t>1.2 Circuit d’approbation</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181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Rôle</w:t>
            </w:r>
          </w:p>
        </w:tc>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Responsabilité</w:t>
            </w:r>
          </w:p>
        </w:tc>
        <w:tc>
          <w:tcPr>
            <w:tcW w:type="dxa" w:w="249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Décision attendue</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Sponsor CNPM</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Valider l’alignement institutionnel et la souveraineté du CNPM.</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Approbation globale</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Direction financière</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Valider les flux de cotisation, paiement, rapprochement, reçus, primes et partage.</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Visa financier</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DSI / responsable technique</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Valider l’architecture, les environnements, l’exploitation et la réversibilité.</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Visa technique</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RSSI / sécurité</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Valider IAM, 2FA, RBAC, journaux, sécurité des intégrations et DevSecOps.</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Visa sécurité</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Responsable produit</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Valider backlog, critères d’acceptation, écrans et priorisation.</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Visa fonctionnel</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Prestataire</w:t>
            </w:r>
          </w:p>
        </w:tc>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S’engager sur la conformité de l’implémentation et des preuves.</w:t>
            </w:r>
          </w:p>
        </w:tc>
        <w:tc>
          <w:tcPr>
            <w:tcW w:type="dxa" w:w="24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Engagement de réalisation</w:t>
            </w:r>
          </w:p>
        </w:tc>
      </w:tr>
    </w:tbl>
    <w:p>
      <w:pPr>
        <w:spacing w:after="0"/>
        <w:keepLines/>
      </w:pPr>
    </w:p>
    <w:p>
      <w:pPr>
        <w:pStyle w:val="Heading2"/>
        <w:keepNext/>
      </w:pPr>
      <w:r>
        <w:t>1.3 Hiérarchie des sources de vérité</w:t>
      </w:r>
    </w:p>
    <w:p>
      <w:pPr>
        <w:pStyle w:val="ListNumber"/>
        <w:spacing w:after="60"/>
        <w:keepLines/>
      </w:pPr>
      <w:r>
        <w:t>TDR de digitalisation du recouvrement des cotisations du CNPM.</w:t>
      </w:r>
    </w:p>
    <w:p>
      <w:pPr>
        <w:pStyle w:val="ListNumber"/>
        <w:spacing w:after="60"/>
        <w:keepLines/>
      </w:pPr>
      <w:r>
        <w:t>Spécifications fonctionnelles détaillées CNPM v1.1.</w:t>
      </w:r>
    </w:p>
    <w:p>
      <w:pPr>
        <w:pStyle w:val="ListNumber"/>
        <w:spacing w:after="60"/>
        <w:keepLines/>
      </w:pPr>
      <w:r>
        <w:t>Décisions formellement approuvées et ADR acceptés.</w:t>
      </w:r>
    </w:p>
    <w:p>
      <w:pPr>
        <w:pStyle w:val="ListNumber"/>
        <w:spacing w:after="60"/>
        <w:keepLines/>
      </w:pPr>
      <w:r>
        <w:t>Présent DCTD et contrats techniques OpenAPI/AsyncAPI.</w:t>
      </w:r>
    </w:p>
    <w:p>
      <w:pPr>
        <w:pStyle w:val="ListNumber"/>
        <w:spacing w:after="60"/>
        <w:keepLines/>
      </w:pPr>
      <w:r>
        <w:t>Matrice RBAC, dictionnaire de données, backlog et plans de recette.</w:t>
      </w:r>
    </w:p>
    <w:p>
      <w:pPr>
        <w:spacing w:before="100" w:after="140"/>
        <w:ind w:left="198" w:right="85"/>
        <w:pBdr>
          <w:bottom w:val="single" w:sz="6" w:space="3" w:color="1F3A93"/>
        </w:pBdr>
        <w:keepLines/>
      </w:pPr>
      <w:r>
        <w:rPr>
          <w:b/>
          <w:color w:val="1F3A93"/>
        </w:rPr>
        <w:t xml:space="preserve">Règle de gouvernance - </w:t>
      </w:r>
      <w:r>
        <w:rPr>
          <w:color w:val="1A1D24"/>
        </w:rPr>
        <w:t>Une contradiction ne doit jamais être arbitrée silencieusement par un développeur ou un agent IA. Elle doit être inscrite dans le registre des décisions ouvertes et soumise à validation.</w:t>
      </w:r>
    </w:p>
    <w:p>
      <w:pPr>
        <w:pStyle w:val="Heading1"/>
        <w:pageBreakBefore/>
        <w:pBdr>
          <w:bottom w:val="single" w:sz="8" w:space="4" w:color="E30613"/>
        </w:pBdr>
        <w:keepNext/>
      </w:pPr>
      <w:r>
        <w:t>2. Résumé exécutif</w:t>
      </w:r>
    </w:p>
    <w:p>
      <w:pPr>
        <w:keepLines/>
      </w:pPr>
      <w:r>
        <w:t>La plateforme CNPM est conçue comme un système institutionnel, financier et relationnel de bout en bout. Elle couvre l’enrôlement des entreprises, la gestion des membres, les cotisations, les paiements, le rapprochement, les reçus officiels, le recouvrement, les requêtes, les groupements, les primes, les événements, la GED, l’audit et le décisionnel.</w:t>
      </w:r>
    </w:p>
    <w:p>
      <w:pPr>
        <w:keepLines/>
      </w:pPr>
      <w:r>
        <w:t>La cible retenue est un monolithe modulaire Spring Boot, exposant des API contractuelles, servi par un portail et un back-office Angular ainsi qu’une application mobile Flutter. PostgreSQL est l’unique source de vérité relationnelle. Les fichiers sont conservés dans un stockage objet compatible S3. Keycloak fournit l’identité, l’authentification forte et la fédération. RabbitMQ, l’outbox transactionnelle et Flowable assurent les traitements asynchrones et les processus longs.</w:t>
      </w:r>
    </w:p>
    <w:p>
      <w:pPr>
        <w:spacing w:before="100" w:after="140"/>
        <w:ind w:left="198" w:right="85"/>
        <w:pBdr>
          <w:bottom w:val="single" w:sz="6" w:space="3" w:color="E30613"/>
        </w:pBdr>
        <w:keepLines/>
      </w:pPr>
      <w:r>
        <w:rPr>
          <w:b/>
          <w:color w:val="E30613"/>
        </w:rPr>
        <w:t xml:space="preserve">Décision structurante - </w:t>
      </w:r>
      <w:r>
        <w:rPr>
          <w:color w:val="1A1D24"/>
        </w:rPr>
        <w:t>PostgreSQL est obligatoire. Aucun autre SGBD relationnel ne peut héberger des données métier, financières, d’audit ou de configuration en production.</w:t>
      </w:r>
    </w:p>
    <w:p>
      <w:pPr>
        <w:pStyle w:val="Heading2"/>
        <w:keepNext/>
      </w:pPr>
      <w:r>
        <w:t>2.1 Chiffres de la baseline</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300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Élément</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Volume</w:t>
            </w:r>
          </w:p>
        </w:tc>
        <w:tc>
          <w:tcPr>
            <w:tcW w:type="dxa" w:w="4479"/>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8"/>
              </w:rPr>
              <w:t>Portée</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Exigences traçables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144</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Fonctionnelles et non fonctionnelles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Modules fonctionnels et techniques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19</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Domaines de développement et de gouvernance</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Schémas PostgreSQL</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17</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Séparation logique des domaines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Tables PostgreSQL</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73</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Baseline de données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Colonnes documentées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807</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Types, nullabilité, confidentialité et indexation</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Clés étrangères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57</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Intégrité référentielle</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Opérations OpenAPI</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77</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Contrats synchrones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Canaux AsyncAPI</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10</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Événements et traitements asynchrones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Rôles / permissions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20 / 66</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RBAC et séparation des tâches</w:t>
            </w:r>
          </w:p>
        </w:tc>
      </w:tr>
      <w:tr>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Cas de recette minimum</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361</w:t>
            </w:r>
          </w:p>
        </w:tc>
        <w:tc>
          <w:tcPr>
            <w:tcW w:type="dxa" w:w="447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Nominal, négatif et critique selon le domaine</w:t>
            </w:r>
          </w:p>
        </w:tc>
      </w:tr>
    </w:tbl>
    <w:p>
      <w:pPr>
        <w:spacing w:after="0"/>
        <w:keepLines/>
      </w:pPr>
    </w:p>
    <w:p>
      <w:pPr>
        <w:pStyle w:val="Heading2"/>
        <w:keepNext/>
      </w:pPr>
      <w:r>
        <w:t>2.2 Résultats attendus</w:t>
      </w:r>
    </w:p>
    <w:p>
      <w:pPr>
        <w:pStyle w:val="ListBullet"/>
        <w:keepLines/>
        <w:spacing w:after="60"/>
      </w:pPr>
      <w:r>
        <w:t>Diminution du traitement manuel et des erreurs de rapprochement.</w:t>
      </w:r>
    </w:p>
    <w:p>
      <w:pPr>
        <w:pStyle w:val="ListBullet"/>
        <w:keepLines/>
        <w:spacing w:after="60"/>
      </w:pPr>
      <w:r>
        <w:t>Traçabilité complète de l’enrôlement jusqu’au reçu officiel.</w:t>
      </w:r>
    </w:p>
    <w:p>
      <w:pPr>
        <w:pStyle w:val="ListBullet"/>
        <w:keepLines/>
        <w:spacing w:after="60"/>
      </w:pPr>
      <w:r>
        <w:t>Relances programmables et portefeuille de recouvrement piloté par les données.</w:t>
      </w:r>
    </w:p>
    <w:p>
      <w:pPr>
        <w:pStyle w:val="ListBullet"/>
        <w:keepLines/>
        <w:spacing w:after="60"/>
      </w:pPr>
      <w:r>
        <w:t>Portail autonome pour les membres et services accessibles depuis le mobile.</w:t>
      </w:r>
    </w:p>
    <w:p>
      <w:pPr>
        <w:pStyle w:val="ListBullet"/>
        <w:keepLines/>
        <w:spacing w:after="60"/>
      </w:pPr>
      <w:r>
        <w:t>Tableaux de bord certifiés, rapports exportables et alertes de risque.</w:t>
      </w:r>
    </w:p>
    <w:p>
      <w:pPr>
        <w:pStyle w:val="ListBullet"/>
        <w:keepLines/>
        <w:spacing w:after="60"/>
      </w:pPr>
      <w:r>
        <w:t>Souveraineté du CNPM, auditabilité permanente et réversibilité testée.</w:t>
      </w:r>
    </w:p>
    <w:p>
      <w:pPr>
        <w:pStyle w:val="ListBullet"/>
        <w:keepLines/>
        <w:spacing w:after="60"/>
      </w:pPr>
      <w:r>
        <w:t>Socle d’interopérabilité permettant l’intégration future avec l’INPS.</w:t>
      </w:r>
    </w:p>
    <w:p>
      <w:pPr>
        <w:pStyle w:val="Heading1"/>
        <w:pageBreakBefore/>
        <w:pBdr>
          <w:bottom w:val="single" w:sz="8" w:space="4" w:color="E30613"/>
        </w:pBdr>
        <w:keepNext/>
      </w:pPr>
      <w:r>
        <w:t>3. Périmètre, couverture et acteurs</w:t>
      </w:r>
    </w:p>
    <w:p>
      <w:pPr>
        <w:pStyle w:val="Heading2"/>
        <w:keepNext/>
      </w:pPr>
      <w:r>
        <w:t>3.1 Couverture du TDR</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340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Exigence du TDR</w:t>
            </w:r>
          </w:p>
        </w:tc>
        <w:tc>
          <w:tcPr>
            <w:tcW w:type="dxa" w:w="5783"/>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Couverture dans le pack</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Enrôlement numérique web/mobile</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6, 7 et 11; KYC, validation, faible connectivité, import prospects.</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Paiement Mobile Money et virement</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9 et 18; référence unique, API, rapprochement, anomalies.</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Confirmation et reçus CNPM</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9.4; validation CNPM, signature, QR, archivage.</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Relances et journal des interactions</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10; scénarios, promesses, campagnes, portefeuille.</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Tableau de bord et reporting</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16; DG, opérationnel, rapports, exports, prévisions.</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Catégories actifs/dormants/prospects/grands</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6, 8, 10 et 14; segmentation et règles différenciées.</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Primes de mobilisation</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14; calcul, commission, contestations, clôture.</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Partage de revenus NTA</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14; éligibilité, taux, rapprochement et net CNPM.</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Auditabilité et sécurité</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17 et 18.5 à 18.9; 2FA, RBAC, séparation, PostgreSQL, journaux, DevSecOps et PRA.</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Interopérabilité INPS</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18.1 et 18.2; API, mapping, consentement, sandbox.</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PostgreSQL et stack technique</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18.3 à 18.9 et 21; architecture, versions, données, BI, résilience, déploiement et critères de recette.</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PoC et déploiement</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 20; périmètre, KPI, recette, formation, Go/No-Go.</w:t>
            </w:r>
          </w:p>
        </w:tc>
      </w:tr>
      <w:tr>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Souveraineté et réversibilité</w:t>
            </w:r>
          </w:p>
        </w:tc>
        <w:tc>
          <w:tcPr>
            <w:tcW w:type="dxa" w:w="578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Sections 1, 17 et 20; propriété, portabilité, export complet.</w:t>
            </w:r>
          </w:p>
        </w:tc>
      </w:tr>
    </w:tbl>
    <w:p>
      <w:pPr>
        <w:spacing w:after="0"/>
        <w:keepLines/>
      </w:pPr>
    </w:p>
    <w:p>
      <w:pPr>
        <w:pStyle w:val="Heading2"/>
        <w:keepNext/>
      </w:pPr>
      <w:r>
        <w:t>3.2 Acteurs</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43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Acteur</w:t>
            </w:r>
          </w:p>
        </w:tc>
        <w:tc>
          <w:tcPr>
            <w:tcW w:type="dxa" w:w="674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Responsabilités principales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Membre administrateur</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Gère le profil de son entreprise, les utilisateurs, les cotisations, paiements, reçus et requêtes.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Membre utilisateur</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Consulte les informations autorisées et exécute les actions déléguées.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Agent de recouvrement</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Gère portefeuille, interactions, relances, promesses et preuves.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Gestionnaire membres</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Tient la fiche 360°, les statuts, contacts, adhésions et groupements.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Validateur enrôlement</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Contrôle les pièces et valide ou rejette les dossiers.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Direction financière</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Gère barèmes, appels, encaissements, rapprochements, reçus, primes et reporting.</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Comptable / caissier</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Enregistre, rapproche et justifie les encaissements dans son périmètre.</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Responsable de groupement</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Mobilise les entreprises, suit son portefeuille et ses résultats.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Secrétariat / direction</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Supervise services, décisions, événements et indicateurs stratégiques.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Auditeur</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Accède en lecture contrôlée aux preuves, journaux et exports.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Administrateur sécurité</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Gère habilitations, 2FA, revues d’accès et alertes.</w:t>
            </w:r>
          </w:p>
        </w:tc>
      </w:tr>
      <w:tr>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Prestataire technique</w:t>
            </w:r>
          </w:p>
        </w:tc>
        <w:tc>
          <w:tcPr>
            <w:tcW w:type="dxa" w:w="674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Exploite la plateforme avec un accès temporaire et sans droits métier implicites.</w:t>
            </w:r>
          </w:p>
        </w:tc>
      </w:tr>
    </w:tbl>
    <w:p>
      <w:pPr>
        <w:spacing w:after="0"/>
        <w:keepLines/>
      </w:pPr>
    </w:p>
    <w:p>
      <w:pPr>
        <w:pStyle w:val="Heading2"/>
        <w:keepNext/>
      </w:pPr>
      <w:r>
        <w:t>3.3 Hors périmètre de la baseline</w:t>
      </w:r>
    </w:p>
    <w:p>
      <w:pPr>
        <w:pStyle w:val="ListBullet"/>
        <w:keepLines/>
        <w:spacing w:after="60"/>
      </w:pPr>
      <w:r>
        <w:t>Choix contractuel des opérateurs Mobile Money et des banques.</w:t>
      </w:r>
    </w:p>
    <w:p>
      <w:pPr>
        <w:pStyle w:val="ListBullet"/>
        <w:keepLines/>
        <w:spacing w:after="60"/>
      </w:pPr>
      <w:r>
        <w:t>Définition finale des taux de cotisation, primes et partage de revenus.</w:t>
      </w:r>
    </w:p>
    <w:p>
      <w:pPr>
        <w:pStyle w:val="ListBullet"/>
        <w:keepLines/>
        <w:spacing w:after="60"/>
      </w:pPr>
      <w:r>
        <w:t>Accord et spécification définitive de l’interopérabilité INPS.</w:t>
      </w:r>
    </w:p>
    <w:p>
      <w:pPr>
        <w:pStyle w:val="ListBullet"/>
        <w:keepLines/>
        <w:spacing w:after="60"/>
      </w:pPr>
      <w:r>
        <w:t>Choix de l’hébergement de production et des objectifs contractuels SLA/RPO/RTO.</w:t>
      </w:r>
    </w:p>
    <w:p>
      <w:pPr>
        <w:pStyle w:val="ListBullet"/>
        <w:keepLines/>
        <w:spacing w:after="60"/>
      </w:pPr>
      <w:r>
        <w:t>Maquettes Figma haute fidélité finales, qui doivent être validées avant développement visuel définitif.</w:t>
      </w:r>
    </w:p>
    <w:p>
      <w:pPr>
        <w:pStyle w:val="Heading1"/>
        <w:pageBreakBefore/>
        <w:pBdr>
          <w:bottom w:val="single" w:sz="8" w:space="4" w:color="E30613"/>
        </w:pBdr>
        <w:keepNext/>
      </w:pPr>
      <w:r>
        <w:t>4. Architecture cible</w:t>
      </w:r>
    </w:p>
    <w:p>
      <w:pPr>
        <w:keepLines/>
      </w:pPr>
      <w:r>
        <w:t>L’architecture privilégie la maîtrise opérationnelle, l’intégrité financière, la maintenabilité et la capacité de déploiement progressif. Le monolithe modulaire est retenu pour le PoC et les premières phases afin de limiter la complexité distribuée, tout en conservant des frontières de domaine strictes permettant une extraction future lorsque des besoins mesurés le justifieront.</w:t>
      </w:r>
    </w:p>
    <w:p>
      <w:pPr>
        <w:pStyle w:val="Heading2"/>
        <w:keepNext/>
      </w:pPr>
      <w:r>
        <w:t>4.1 Contexte système</w:t>
      </w:r>
    </w:p>
    <w:p>
      <w:pPr>
        <w:jc w:val="center"/>
        <w:keepLines/>
      </w:pPr>
      <w:r>
        <w:drawing>
          <wp:inline xmlns:a="http://schemas.openxmlformats.org/drawingml/2006/main" xmlns:pic="http://schemas.openxmlformats.org/drawingml/2006/picture">
            <wp:extent cx="6120000" cy="2255172"/>
            <wp:docPr id="2" name="Picture 2" title="Contexte système" descr="Diagramme des utilisateurs et partenaires externes de la plateforme CNPM"/>
            <wp:cNvGraphicFramePr>
              <a:graphicFrameLocks noChangeAspect="1"/>
            </wp:cNvGraphicFramePr>
            <a:graphic>
              <a:graphicData uri="http://schemas.openxmlformats.org/drawingml/2006/picture">
                <pic:pic>
                  <pic:nvPicPr>
                    <pic:cNvPr id="0" name="system-context.png"/>
                    <pic:cNvPicPr/>
                  </pic:nvPicPr>
                  <pic:blipFill>
                    <a:blip r:embed="rId10"/>
                    <a:stretch>
                      <a:fillRect/>
                    </a:stretch>
                  </pic:blipFill>
                  <pic:spPr>
                    <a:xfrm>
                      <a:off x="0" y="0"/>
                      <a:ext cx="6120000" cy="2255172"/>
                    </a:xfrm>
                    <a:prstGeom prst="rect"/>
                  </pic:spPr>
                </pic:pic>
              </a:graphicData>
            </a:graphic>
          </wp:inline>
        </w:drawing>
      </w:r>
    </w:p>
    <w:p>
      <w:pPr>
        <w:spacing w:before="60" w:after="160"/>
        <w:jc w:val="center"/>
        <w:keepLines/>
      </w:pPr>
      <w:r>
        <w:rPr>
          <w:rFonts w:ascii="Lato" w:hAnsi="Lato"/>
          <w:i/>
          <w:color w:val="5D6470"/>
          <w:sz w:val="16"/>
        </w:rPr>
        <w:t>Figure 1 - Contexte du système CNPM</w:t>
      </w:r>
    </w:p>
    <w:p>
      <w:pPr>
        <w:pStyle w:val="Heading2"/>
        <w:keepNext/>
      </w:pPr>
      <w:r>
        <w:t>4.2 Architecture logique</w:t>
      </w:r>
    </w:p>
    <w:p>
      <w:pPr>
        <w:jc w:val="center"/>
        <w:keepLines/>
      </w:pPr>
      <w:r>
        <w:drawing>
          <wp:inline xmlns:a="http://schemas.openxmlformats.org/drawingml/2006/main" xmlns:pic="http://schemas.openxmlformats.org/drawingml/2006/picture">
            <wp:extent cx="6120000" cy="3641583"/>
            <wp:docPr id="3" name="Picture 3" title="Architecture logique" descr="Diagramme des canaux, modules, services techniques et composants de données"/>
            <wp:cNvGraphicFramePr>
              <a:graphicFrameLocks noChangeAspect="1"/>
            </wp:cNvGraphicFramePr>
            <a:graphic>
              <a:graphicData uri="http://schemas.openxmlformats.org/drawingml/2006/picture">
                <pic:pic>
                  <pic:nvPicPr>
                    <pic:cNvPr id="0" name="logical-architecture.png"/>
                    <pic:cNvPicPr/>
                  </pic:nvPicPr>
                  <pic:blipFill>
                    <a:blip r:embed="rId11"/>
                    <a:stretch>
                      <a:fillRect/>
                    </a:stretch>
                  </pic:blipFill>
                  <pic:spPr>
                    <a:xfrm>
                      <a:off x="0" y="0"/>
                      <a:ext cx="6120000" cy="3641583"/>
                    </a:xfrm>
                    <a:prstGeom prst="rect"/>
                  </pic:spPr>
                </pic:pic>
              </a:graphicData>
            </a:graphic>
          </wp:inline>
        </w:drawing>
      </w:r>
    </w:p>
    <w:p>
      <w:pPr>
        <w:spacing w:before="60" w:after="160"/>
        <w:jc w:val="center"/>
        <w:keepLines/>
      </w:pPr>
      <w:r>
        <w:rPr>
          <w:rFonts w:ascii="Lato" w:hAnsi="Lato"/>
          <w:i/>
          <w:color w:val="5D6470"/>
          <w:sz w:val="16"/>
        </w:rPr>
        <w:t>Figure 2 - Architecture logique cible</w:t>
      </w:r>
    </w:p>
    <w:p>
      <w:pPr>
        <w:pStyle w:val="Heading2"/>
        <w:keepNext/>
      </w:pPr>
      <w:r>
        <w:t>4.3 Principes d’architecture</w:t>
      </w:r>
    </w:p>
    <w:p>
      <w:pPr>
        <w:pStyle w:val="ListNumber"/>
        <w:spacing w:after="60"/>
        <w:keepLines/>
      </w:pPr>
      <w:r>
        <w:t>API-first et contrats versionnés avant implémentation.</w:t>
      </w:r>
    </w:p>
    <w:p>
      <w:pPr>
        <w:pStyle w:val="ListNumber"/>
        <w:spacing w:after="60"/>
        <w:keepLines/>
      </w:pPr>
      <w:r>
        <w:t>Architecture hexagonale : domaine indépendant des frameworks et intégrations.</w:t>
      </w:r>
    </w:p>
    <w:p>
      <w:pPr>
        <w:pStyle w:val="ListNumber"/>
        <w:spacing w:after="60"/>
        <w:keepLines/>
      </w:pPr>
      <w:r>
        <w:t>Monolithe modulaire : modules isolés, dépendances dirigées et aucune lecture directe des tables privées d’un autre module.</w:t>
      </w:r>
    </w:p>
    <w:p>
      <w:pPr>
        <w:pStyle w:val="ListNumber"/>
        <w:spacing w:after="60"/>
        <w:keepLines/>
      </w:pPr>
      <w:r>
        <w:t>PostgreSQL comme source de vérité et intégrité renforcée par contraintes.</w:t>
      </w:r>
    </w:p>
    <w:p>
      <w:pPr>
        <w:pStyle w:val="ListNumber"/>
        <w:spacing w:after="60"/>
        <w:keepLines/>
      </w:pPr>
      <w:r>
        <w:t>Outbox transactionnelle pour les événements critiques.</w:t>
      </w:r>
    </w:p>
    <w:p>
      <w:pPr>
        <w:pStyle w:val="ListNumber"/>
        <w:spacing w:after="60"/>
        <w:keepLines/>
      </w:pPr>
      <w:r>
        <w:t>Idempotence obligatoire pour paiement, callback, rapprochement, émission de reçu et synchronisation.</w:t>
      </w:r>
    </w:p>
    <w:p>
      <w:pPr>
        <w:pStyle w:val="ListNumber"/>
        <w:spacing w:after="60"/>
        <w:keepLines/>
      </w:pPr>
      <w:r>
        <w:t>Immutabilité des écritures financières validées et corrections compensatoires.</w:t>
      </w:r>
    </w:p>
    <w:p>
      <w:pPr>
        <w:pStyle w:val="ListNumber"/>
        <w:spacing w:after="60"/>
        <w:keepLines/>
      </w:pPr>
      <w:r>
        <w:t>Refus par défaut, moindre privilège et séparation des tâches.</w:t>
      </w:r>
    </w:p>
    <w:p>
      <w:pPr>
        <w:pStyle w:val="ListNumber"/>
        <w:spacing w:after="60"/>
        <w:keepLines/>
      </w:pPr>
      <w:r>
        <w:t>Observabilité corrélée : métriques, logs, traces et événements métier.</w:t>
      </w:r>
    </w:p>
    <w:p>
      <w:pPr>
        <w:pStyle w:val="ListNumber"/>
        <w:spacing w:after="60"/>
        <w:keepLines/>
      </w:pPr>
      <w:r>
        <w:t>Réversibilité par formats ouverts, documentation, scripts et tests de restauration.</w:t>
      </w:r>
    </w:p>
    <w:p>
      <w:pPr>
        <w:pStyle w:val="Heading2"/>
        <w:keepNext/>
      </w:pPr>
      <w:r>
        <w:t>4.4 Stack technologique proposée</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blHeader w:val="true"/>
        </w:trPr>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Couche</w:t>
            </w:r>
          </w:p>
        </w:tc>
        <w:tc>
          <w:tcPr>
            <w:tcW w:type="dxa" w:w="283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Technologie</w:t>
            </w:r>
          </w:p>
        </w:tc>
        <w:tc>
          <w:tcPr>
            <w:tcW w:type="dxa" w:w="340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Justification</w:t>
            </w:r>
          </w:p>
        </w:tc>
        <w:tc>
          <w:tcPr>
            <w:tcW w:type="dxa" w:w="124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Statut</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Architecture</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Monolithe modulaire, architecture hexagonale, API-first</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Réduction de la complexité initiale, frontières de domaine testables, extraction ultérieure possible.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Cible</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Backend</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Java 25 LTS, Spring Boot 4.1.x, Maven</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Robustesse transactionnelle, sécurité et écosystème mature.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À figer au cadrage</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Web</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Angular 22.x, TypeScript strict, Angular Material/CDK</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Back-office et portail institutionnel structurés, PWA et accessibilité.</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À figer au cadrage</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Mobile</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Flutter 3.44.x, Dart</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Socle Android/iOS commun, synchronisation et faible connectivité.</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À figer au cadrage</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Base de données</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PostgreSQL 18.x, Flyway, PgBouncer</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Source de vérité ACID, intégrité forte, migrations versionnées.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Imposé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IAM</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Keycloak 26.7.x, OIDC/OAuth 2.0, WebAuthn/TOTP</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SSO, 2FA, fédération et contrôle centralisé.</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À figer au cadrage</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Workflow</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Flowable 7.x, BPMN 2.0/DMN</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Processus de validation longs et règles versionnées.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Messagerie</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RabbitMQ 4.x</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Traitements asynchrones, reprises et files d’erreurs.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Cache</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Valkey 8.x</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Cache, limitation de débit et verrous courts non métier.</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Stockage objet compatible S3 + antivirus</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Documents chiffrés, versionnés, portables et vérifiés.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Reporting</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JasperReports, Apache POI, Apache ECharts, Apache Superset</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PDF/Excel officiels, tableaux opérationnels et BI avancée.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Observabilité</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OpenTelemetry, Prometheus, Grafana, Loki, Tempo</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Métriques, journaux, traces et alertes corrélées.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CI/CD</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GitLab CI/CD, SonarQube, Trivy, OWASP ZAP</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Qualité, sécurité de la chaîne logicielle et déploiements contrôlés.</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Proposé</w:t>
            </w:r>
          </w:p>
        </w:tc>
      </w:tr>
      <w:tr>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Conteneurs</w:t>
            </w:r>
          </w:p>
        </w:tc>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Docker/OCI, Kubernetes ou RKE2</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Portabilité, haute disponibilité et indépendance d’hébergement.</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À décider</w:t>
            </w:r>
          </w:p>
        </w:tc>
      </w:tr>
    </w:tbl>
    <w:p>
      <w:pPr>
        <w:spacing w:after="0"/>
        <w:keepLines/>
      </w:pPr>
    </w:p>
    <w:p>
      <w:pPr>
        <w:spacing w:before="100" w:after="140"/>
        <w:ind w:left="198" w:right="85"/>
        <w:pBdr>
          <w:bottom w:val="single" w:sz="6" w:space="3" w:color="1F3A93"/>
        </w:pBdr>
        <w:keepLines/>
      </w:pPr>
      <w:r>
        <w:rPr>
          <w:b/>
          <w:color w:val="1F3A93"/>
        </w:rPr>
        <w:t xml:space="preserve">Politique de versions - </w:t>
      </w:r>
      <w:r>
        <w:rPr>
          <w:color w:val="1A1D24"/>
        </w:rPr>
        <w:t>Les versions exactes sont figées au cadrage dans une matrice de compatibilité, puis mises à jour uniquement par décision approuvée et tests de non-régression. Les composants doivent être supportés, corrigés et compatibles entre eux.</w:t>
      </w:r>
    </w:p>
    <w:p>
      <w:pPr>
        <w:pStyle w:val="Heading1"/>
        <w:pageBreakBefore/>
        <w:pBdr>
          <w:bottom w:val="single" w:sz="8" w:space="4" w:color="E30613"/>
        </w:pBdr>
        <w:keepNext/>
      </w:pPr>
      <w:r>
        <w:t>5. Découpage modulaire et frontières de domaine</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blHeader w:val="true"/>
        </w:trPr>
        <w:tc>
          <w:tcPr>
            <w:tcW w:type="dxa" w:w="96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Code</w:t>
            </w:r>
          </w:p>
        </w:tc>
        <w:tc>
          <w:tcPr>
            <w:tcW w:type="dxa" w:w="300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Module</w:t>
            </w:r>
          </w:p>
        </w:tc>
        <w:tc>
          <w:tcPr>
            <w:tcW w:type="dxa" w:w="226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Frontière</w:t>
            </w:r>
          </w:p>
        </w:tc>
        <w:tc>
          <w:tcPr>
            <w:tcW w:type="dxa" w:w="181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Préfixe permission</w:t>
            </w:r>
          </w:p>
        </w:tc>
        <w:tc>
          <w:tcPr>
            <w:tcW w:type="dxa" w:w="96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Exigences</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ADM</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Administration et paramétrage</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Administration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ADMIN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5</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Membres et entreprises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Membres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MEMBER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Enrôlement et adhésion</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Enrôlement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ENROLLMENT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COT</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Cotisations et échéanciers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Cotisations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CONTRIBUTION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PAY</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Paiements et rapprochement</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Paiements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PAYMENT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Reçus et attestations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Reçus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RECEIPT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6</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REL</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Recouvrement et relances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Recouvrement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RECOVERY</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PRT</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Portail et application membre</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Portail membre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PORTAL</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REQ</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Requêtes et réclamations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Services membres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REQUEST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GRP</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Groupements professionnels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Groupements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GROUP</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6</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PRI</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Primes et partage de revenus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Primes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INCENTIVE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7</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GED</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Gestion électronique des documents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GED</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DOCUMENT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6</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EVT</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Événements et formations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Événements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EVENT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4</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BI</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Décisionnel et reporting</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Décisionnel</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REPORT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8</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Sécurité et identité</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Sécurité</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SECURITY</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5</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 et conformité</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5</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Intégrations et interopérabilité</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Intégrations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INTEGRATION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6</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DB</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PostgreSQL et données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Données</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DATA</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16</w:t>
            </w:r>
          </w:p>
        </w:tc>
      </w:tr>
      <w:tr>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TEC</w:t>
            </w:r>
          </w:p>
        </w:tc>
        <w:tc>
          <w:tcPr>
            <w:tcW w:type="dxa" w:w="300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Architecture technique et exploitation</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Technique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TECH</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12</w:t>
            </w:r>
          </w:p>
        </w:tc>
      </w:tr>
    </w:tbl>
    <w:p>
      <w:pPr>
        <w:spacing w:after="0"/>
        <w:keepLines/>
      </w:pPr>
    </w:p>
    <w:p>
      <w:pPr>
        <w:pStyle w:val="Heading2"/>
        <w:keepNext/>
      </w:pPr>
      <w:r>
        <w:t>5.1 ADM - Administration et paramétrage</w:t>
      </w:r>
    </w:p>
    <w:p>
      <w:pPr>
        <w:keepLines/>
      </w:pPr>
      <w:r>
        <w:t>Paramétrage des référentiels, séquences, modèles, règles et calendriers.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ADM-001 - Créer, modifier, désactiver et historiser chaque valeur de référentiel.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Toute modification conserve auteur, date, ancienne et nouvelle valeur.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ADM-002 - Soumettre les changements sensibles à validation à quatre yeux.</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Aucune règle financière publiée sans second valideur.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ADM-003 - Importer/exporter les référentiels en Excel avec contrôle de format.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Rapport d’erreurs ligne par ligne disponible.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ADM-004 - Versionner les barèmes et empêcher les modifications rétroactives non autorisées.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version publiée est immutable; une correction crée une nouvelle version.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ADM-005 - Simuler l’impact d’un nouveau barème avant publication.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système calcule le montant projeté sur la base active.</w:t>
            </w:r>
          </w:p>
        </w:tc>
      </w:tr>
    </w:tbl>
    <w:p>
      <w:pPr>
        <w:spacing w:after="0"/>
        <w:keepLines/>
      </w:pPr>
    </w:p>
    <w:p>
      <w:pPr>
        <w:pStyle w:val="ListBullet"/>
        <w:keepLines/>
        <w:spacing w:after="60"/>
      </w:pPr>
      <w:r>
        <w:t>Aucun paramètre sensible sans version, auteur et approbation.</w:t>
      </w:r>
    </w:p>
    <w:p>
      <w:pPr>
        <w:pStyle w:val="ListBullet"/>
        <w:keepLines/>
        <w:spacing w:after="60"/>
      </w:pPr>
      <w:r>
        <w:t>Les changements de barème sont datés et non rétroactifs sans décision.</w:t>
      </w:r>
    </w:p>
    <w:p>
      <w:pPr>
        <w:pStyle w:val="Heading2"/>
        <w:keepNext/>
      </w:pPr>
      <w:r>
        <w:t>5.2 MEM - Membres et entreprises</w:t>
      </w:r>
    </w:p>
    <w:p>
      <w:pPr>
        <w:keepLines/>
      </w:pPr>
      <w:r>
        <w:t>Fiche 360° entreprise, contacts, dirigeants, statuts, catégories et historique.</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MEM-001 - Attribuer un identifiant CNPM unique non réutilisable.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Deux comptes ne peuvent partager le même identifiant.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MEM-002 - Détecter les doublons par NIF, RCCM, raison sociale, téléphone et e-mail.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système bloque ou soumet à arbitrage selon le score de similarité.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MEM-003 - Gérer plusieurs établissements et plusieurs contacts par entreprise.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 contact principal et un contact financier sont identifiables.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MEM-004 - Historiser tout changement de catégorie, groupement, statut ou représentant.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timeline restitue la valeur, l’auteur, la date et le motif.</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MEM-005 - Gérer les fusions, changements de raison sociale et successions juridiques.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liens entre entités antérieures et nouvelles restent consultables.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MEM-006 - Générer une carte membre numérique avec QR sécurisé.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QR ouvre une page de vérification sans exposer de données sensibles.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MEM-007 - Permettre une vue consolidée groupe de sociétés.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soldes et contributions sont agrégés sans fusionner les comptes juridiques.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MEM-008 - Exporter la fiche membre complète selon les droits.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PDF horodaté et journalisé, données masquées selon le rôle.</w:t>
            </w:r>
          </w:p>
        </w:tc>
      </w:tr>
    </w:tbl>
    <w:p>
      <w:pPr>
        <w:spacing w:after="0"/>
        <w:keepLines/>
      </w:pPr>
    </w:p>
    <w:p>
      <w:pPr>
        <w:pStyle w:val="ListBullet"/>
        <w:keepLines/>
        <w:spacing w:after="60"/>
      </w:pPr>
      <w:r>
        <w:t>NIF/RCCM et références métier sont contrôlés.</w:t>
      </w:r>
    </w:p>
    <w:p>
      <w:pPr>
        <w:pStyle w:val="ListBullet"/>
        <w:keepLines/>
        <w:spacing w:after="60"/>
      </w:pPr>
      <w:r>
        <w:t>Une entreprise peut disposer de plusieurs contacts et adhésions historisées.</w:t>
      </w:r>
    </w:p>
    <w:p>
      <w:pPr>
        <w:pStyle w:val="Heading2"/>
        <w:keepNext/>
      </w:pPr>
      <w:r>
        <w:t>5.3 ENR - Enrôlement et adhésion</w:t>
      </w:r>
    </w:p>
    <w:p>
      <w:pPr>
        <w:keepLines/>
      </w:pPr>
      <w:r>
        <w:t>Enrôlement assisté ou autonome, pièces, KYC, instruction et décision.</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ENR-001 - Proposer des formulaires adaptatifs selon forme juridique et catégorie.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champs et pièces varient automatiquement selon le profil.</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ENR-002 - Sauvegarder un brouillon et reprendre sur un autre appareil.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demandeur récupère son dossier après authentification OTP.</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ENR-003 - Capturer RCCM, NIF et contacts avec contrôle de format.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formats invalides sont refusés avant soumission.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ENR-004 - Gérer les pièces obligatoires, facultatives et conditionnelles.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soumission est bloquée si une pièce requise manque.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ENR-005 - Permettre au contrôleur de demander un complément avec motif.</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membre reçoit la liste exacte et une échéance.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ENR-006 - Tracer le consentement, la version de la politique et l’horodatage.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preuve est exportable pour audit.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ENR-007 - Mesurer le taux de conversion par canal, groupement et campagne.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tableau de bord présente les étapes d’abandon.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ENR-008 - Fonctionner en mode faible connectivité.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Compression images, reprise de chargement et synchronisation différée.</w:t>
            </w:r>
          </w:p>
        </w:tc>
      </w:tr>
    </w:tbl>
    <w:p>
      <w:pPr>
        <w:spacing w:after="0"/>
        <w:keepLines/>
      </w:pPr>
    </w:p>
    <w:p>
      <w:pPr>
        <w:pStyle w:val="ListBullet"/>
        <w:keepLines/>
        <w:spacing w:after="60"/>
      </w:pPr>
      <w:r>
        <w:t>Activation uniquement après validation CNPM.</w:t>
      </w:r>
    </w:p>
    <w:p>
      <w:pPr>
        <w:pStyle w:val="ListBullet"/>
        <w:keepLines/>
        <w:spacing w:after="60"/>
      </w:pPr>
      <w:r>
        <w:t>Les rejets comportent un motif et restent auditables.</w:t>
      </w:r>
    </w:p>
    <w:p>
      <w:pPr>
        <w:pStyle w:val="Heading2"/>
        <w:keepNext/>
      </w:pPr>
      <w:r>
        <w:t>5.4 COT - Cotisations et échéanciers</w:t>
      </w:r>
    </w:p>
    <w:p>
      <w:pPr>
        <w:keepLines/>
      </w:pPr>
      <w:r>
        <w:t>Barèmes, exercices, appels, échéanciers, remises et ajustements.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COT-001 - Générer automatiquement les appels selon l’exercice et le barème.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membre éligible reçoit un appel unique et traçable.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COT-002 - Soumettre une campagne d’appels à simulation puis validation.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total, les exceptions et écarts sont visibles avant émission.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COT-003 - Émettre l’appel en PDF et via portail, e-mail, SMS ou push.</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L’historique de diffusion indique canal, date et statut.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COT-004 - Gérer les appels complémentaires, avoirs et annulations.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correction référence l’appel initial et exige un motif.</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COT-005 - Gérer les échéanciers et paiements partiels.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solde et la prochaine échéance sont recalculés en temps réel.</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COT-006 - Appliquer automatiquement la période de grâce et les pénalités.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règles sont versionnées et visibles dans le détail de calcul.</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COT-007 - Bloquer la modification d’un appel déjà payé sans workflow d’annulation.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opération corrective génère une écriture compensatrice.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COT-008 - Produire une situation de compte certifiable à une date donnée.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document restitue appels, paiements, soldes et ajustements.</w:t>
            </w:r>
          </w:p>
        </w:tc>
      </w:tr>
    </w:tbl>
    <w:p>
      <w:pPr>
        <w:spacing w:after="0"/>
        <w:keepLines/>
      </w:pPr>
    </w:p>
    <w:p>
      <w:pPr>
        <w:pStyle w:val="ListBullet"/>
        <w:keepLines/>
        <w:spacing w:after="60"/>
      </w:pPr>
      <w:r>
        <w:t>Le montant exigible est reproductible.</w:t>
      </w:r>
    </w:p>
    <w:p>
      <w:pPr>
        <w:pStyle w:val="ListBullet"/>
        <w:keepLines/>
        <w:spacing w:after="60"/>
      </w:pPr>
      <w:r>
        <w:t>Toute correction validée est compensatoire.</w:t>
      </w:r>
    </w:p>
    <w:p>
      <w:pPr>
        <w:pStyle w:val="Heading2"/>
        <w:keepNext/>
      </w:pPr>
      <w:r>
        <w:t>5.5 PAY - Paiements et rapprochement</w:t>
      </w:r>
    </w:p>
    <w:p>
      <w:pPr>
        <w:keepLines/>
      </w:pPr>
      <w:r>
        <w:t>Références, Mobile Money, virements, import de relevés et rapprochement.</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PAY-001 - Générer une référence de paiement unique et non prédictible.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référence permet d’identifier membre, appel et canal sans exposer d’information sensible.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PAY-002 - Recevoir les statuts des opérateurs via API sécurisée.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callback est authentifié, idempotent et journalisé.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PAY-003 - Importer les relevés bancaires en formats configurables.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système détecte doublons, incohérences et lignes non imputées.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PAY-004 - Rapprocher automatiquement par référence, montant, date et payeur.</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 score explique la proposition; le seuil est paramétrable.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PAY-005 - Présenter une file de rapprochement manuel.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L’agent voit preuve, candidat, écarts et historique avant décision.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PAY-006 - Gérer trop-perçus, sous-paiements, remboursements et rejets.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cas suit un workflow comptable et laisse une piste d’audit.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PAY-007 - Empêcher la double confirmation d’une transaction.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clés d’idempotence et contrôles d’unicité bloquent le doublon.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PAY-008 - Alerter sur les anomalies et paiements suspects.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Règles : montant inhabituel, canal incohérent, répétition, modification de compte.</w:t>
            </w:r>
          </w:p>
        </w:tc>
      </w:tr>
    </w:tbl>
    <w:p>
      <w:pPr>
        <w:spacing w:after="0"/>
        <w:keepLines/>
      </w:pPr>
    </w:p>
    <w:p>
      <w:pPr>
        <w:pStyle w:val="ListBullet"/>
        <w:keepLines/>
        <w:spacing w:after="60"/>
      </w:pPr>
      <w:r>
        <w:t>Callback signé et idempotent.</w:t>
      </w:r>
    </w:p>
    <w:p>
      <w:pPr>
        <w:pStyle w:val="ListBullet"/>
        <w:keepLines/>
        <w:spacing w:after="60"/>
      </w:pPr>
      <w:r>
        <w:t>Confirmation CNPM distincte de l’enregistrement.</w:t>
      </w:r>
    </w:p>
    <w:p>
      <w:pPr>
        <w:pStyle w:val="Heading2"/>
        <w:keepNext/>
      </w:pPr>
      <w:r>
        <w:t>5.6 REC - Reçus et attestations</w:t>
      </w:r>
    </w:p>
    <w:p>
      <w:pPr>
        <w:keepLines/>
      </w:pPr>
      <w:r>
        <w:t>Reçus officiels, attestations, QR, signature et archivage.</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REC-001 - Émettre un reçu uniquement après confirmation CNPM.</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 reçu officiel ne peut être produit sur paiement non confirmé.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REC-002 - Inclure numéro unique, membre, montant, période, canal, date et signature.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PDF contient toutes les mentions obligatoires et le logo CNPM.</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REC-003 - Signer électroniquement et apposer un QR de vérification.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QR valide l’authenticité sans exposer de données confidentielles.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REC-004 - Notifier le membre par portail, e-mail, SMS et/ou push.</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statut de livraison est conservé.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REC-005 - Annuler/remplacer un reçu via workflow contrôlé.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reçu annulé reste archivé et la version de remplacement le référence.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REC-006 - Permettre la vérification publique limitée d’un reçu.</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page confirme authenticité, statut et montant sans données excessives.</w:t>
            </w:r>
          </w:p>
        </w:tc>
      </w:tr>
    </w:tbl>
    <w:p>
      <w:pPr>
        <w:spacing w:after="0"/>
        <w:keepLines/>
      </w:pPr>
    </w:p>
    <w:p>
      <w:pPr>
        <w:pStyle w:val="ListBullet"/>
        <w:keepLines/>
        <w:spacing w:after="60"/>
      </w:pPr>
      <w:r>
        <w:t>Un seul reçu actif par paiement confirmé.</w:t>
      </w:r>
    </w:p>
    <w:p>
      <w:pPr>
        <w:pStyle w:val="ListBullet"/>
        <w:keepLines/>
        <w:spacing w:after="60"/>
      </w:pPr>
      <w:r>
        <w:t>Annulation par document de correction, jamais par suppression.</w:t>
      </w:r>
    </w:p>
    <w:p>
      <w:pPr>
        <w:pStyle w:val="Heading2"/>
        <w:keepNext/>
      </w:pPr>
      <w:r>
        <w:t>5.7 REL - Recouvrement et relances</w:t>
      </w:r>
    </w:p>
    <w:p>
      <w:pPr>
        <w:keepLines/>
      </w:pPr>
      <w:r>
        <w:t>Portefeuille, relances, interactions, promesses et campagnes.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REL-001 - Configurer des séquences par événement, délai, canal et segment.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Exemple : J-15 e-mail, J-7 SMS, J+3 appel, J+15 courrier.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REL-002 - Personnaliser les messages avec données membre et solde.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modèles affichent un aperçu avant envoi.</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REL-003 - Gérer les consentements et préférences de communication.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canal non autorisé n’est jamais utilisé, sauf obligation légale.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REL-004 - Suspendre automatiquement les relances en cas de litige ou promesse active.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suspension est visible et datée.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REL-005 - Créer et suivre les promesses de paiement.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Montant, date, commentaire et statut tenu/non tenu sont obligatoires.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REL-006 - Planifier appels, visites et rendez-vous.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tâches apparaissent dans l’agenda et le portefeuille de l’agent.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REL-007 - Mesurer performance par campagne, agent, canal et segment.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Taux de contact, conversion, montant récupéré, coût et délai moyen.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REL-008 - Proposer une priorisation assistée par score.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score est explicable et ne décide pas seul d’une sanction.</w:t>
            </w:r>
          </w:p>
        </w:tc>
      </w:tr>
    </w:tbl>
    <w:p>
      <w:pPr>
        <w:spacing w:after="0"/>
        <w:keepLines/>
      </w:pPr>
    </w:p>
    <w:p>
      <w:pPr>
        <w:pStyle w:val="ListBullet"/>
        <w:keepLines/>
        <w:spacing w:after="60"/>
      </w:pPr>
      <w:r>
        <w:t>Chaque interaction est journalisée.</w:t>
      </w:r>
    </w:p>
    <w:p>
      <w:pPr>
        <w:pStyle w:val="ListBullet"/>
        <w:keepLines/>
        <w:spacing w:after="60"/>
      </w:pPr>
      <w:r>
        <w:t>Les scénarios sont paramétrables et respectent les consentements.</w:t>
      </w:r>
    </w:p>
    <w:p>
      <w:pPr>
        <w:pStyle w:val="Heading2"/>
        <w:keepNext/>
      </w:pPr>
      <w:r>
        <w:t>5.8 PRT - Portail et application membre</w:t>
      </w:r>
    </w:p>
    <w:p>
      <w:pPr>
        <w:keepLines/>
      </w:pPr>
      <w:r>
        <w:t>Self-service membre Web/mobile et délégation des utilisateurs.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PRT-001 - Connexion par mot de passe ou OTP avec 2FA selon risque.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membre peut récupérer son accès sans intervention manuelle abusive.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PRT-002 - Consulter le détail des cotisations et télécharger les appels.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calculs et ajustements sont explicités.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PRT-003 - Initier un paiement et suivre son statut.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statut est actualisé et les échecs sont expliqués.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PRT-004 - Télécharger reçus, attestations et carte membre.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documents sont signés et vérifiables.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PRT-005 - Mettre à jour les informations soumises à validation.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changements sensibles restent en attente jusqu’à validation.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PRT-006 - Déposer et suivre une requête ou réclamation.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membre voit le SLA, les réponses et les pièces demandées.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PRT-007 - Inscrire des représentants aux événements.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Confirmation, QR d’accès et rappel automatiques.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PRT-008 - Gérer les utilisateurs délégués de l’entreprise.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représentant principal attribue des droits limités.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PRT-009 - Utiliser l’application en français et préparer d’autres langues.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Tous les libellés sont externalisés et traduisibles.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PRT-010 - Recevoir des notifications push pertinentes.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préférences sont modifiables et la désinscription respectée.</w:t>
            </w:r>
          </w:p>
        </w:tc>
      </w:tr>
    </w:tbl>
    <w:p>
      <w:pPr>
        <w:spacing w:after="0"/>
        <w:keepLines/>
      </w:pPr>
    </w:p>
    <w:p>
      <w:pPr>
        <w:pStyle w:val="ListBullet"/>
        <w:keepLines/>
        <w:spacing w:after="60"/>
      </w:pPr>
      <w:r>
        <w:t>Le membre ne voit que son périmètre.</w:t>
      </w:r>
    </w:p>
    <w:p>
      <w:pPr>
        <w:pStyle w:val="ListBullet"/>
        <w:keepLines/>
        <w:spacing w:after="60"/>
      </w:pPr>
      <w:r>
        <w:t>Le mode hors ligne n’autorise aucune confirmation financière.</w:t>
      </w:r>
    </w:p>
    <w:p>
      <w:pPr>
        <w:pStyle w:val="Heading2"/>
        <w:keepNext/>
      </w:pPr>
      <w:r>
        <w:t>5.9 REQ - Requêtes et réclamations</w:t>
      </w:r>
    </w:p>
    <w:p>
      <w:pPr>
        <w:keepLines/>
      </w:pPr>
      <w:r>
        <w:t>Requêtes, réclamations, messages, SLA, pièces et escalades.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REQ-001 - Attribuer un numéro de dossier unique et un accusé de réception.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membre reçoit numéro, date et délai cible.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REQ-002 - Qualifier automatiquement ou manuellement la demande.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Catégorie, priorité, service, confidentialité et responsable sont définis.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REQ-003 - Affecter selon compétence, charge et groupement.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L’affectation automatique peut être reprise avec motif.</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REQ-004 - Gérer échanges, pièces, commentaires internes et réponses externes.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notes internes ne sont jamais visibles du membre.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REQ-005 - Suivre SLA, relances internes et escalades.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Des alertes sont envoyées avant et après dépassement.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REQ-006 - Permettre au membre de réouvrir dans un délai paramétrable.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motif de réouverture est obligatoire.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REQ-007 - Mesurer satisfaction et qualité de service.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Score, verbatim et motif d’insatisfaction sont exploitables en BI.</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REQ-008 - Capitaliser les réponses en base de connaissances.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réponse validée peut être transformée en article FAQ.</w:t>
            </w:r>
          </w:p>
        </w:tc>
      </w:tr>
    </w:tbl>
    <w:p>
      <w:pPr>
        <w:spacing w:after="0"/>
        <w:keepLines/>
      </w:pPr>
    </w:p>
    <w:p>
      <w:pPr>
        <w:pStyle w:val="ListBullet"/>
        <w:keepLines/>
        <w:spacing w:after="60"/>
      </w:pPr>
      <w:r>
        <w:t>Accusé de réception automatique.</w:t>
      </w:r>
    </w:p>
    <w:p>
      <w:pPr>
        <w:pStyle w:val="ListBullet"/>
        <w:keepLines/>
        <w:spacing w:after="60"/>
      </w:pPr>
      <w:r>
        <w:t>Horodatage et suivi de statut complet.</w:t>
      </w:r>
    </w:p>
    <w:p>
      <w:pPr>
        <w:pStyle w:val="Heading2"/>
        <w:keepNext/>
      </w:pPr>
      <w:r>
        <w:t>5.10 GRP - Groupements professionnels</w:t>
      </w:r>
    </w:p>
    <w:p>
      <w:pPr>
        <w:keepLines/>
      </w:pPr>
      <w:r>
        <w:t>Groupements, référents, adhésions sectorielles et performance.</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GRP-001 - Créer les groupements, responsables, mandats et zones.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membre est rattaché à un ou plusieurs groupements selon règles.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GRP-002 - Attribuer un portefeuille de prospects et membres.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groupement ne voit que son périmètre autorisé.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GRP-003 - Suivre objectifs d’enrôlement, cotisation et réactivation.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objectifs et réalisations sont comparables par période.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GRP-004 - Former et habiliter des référents de groupement.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système suit habilitation, date de formation et expiration.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GRP-005 - Gérer les commissions, membres, mandats et documents.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L’historique des compositions est conservé.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GRP-006 - Produire des tableaux de bord sectoriels.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Encaissements, adhésions, retard et engagement par groupement.</w:t>
            </w:r>
          </w:p>
        </w:tc>
      </w:tr>
    </w:tbl>
    <w:p>
      <w:pPr>
        <w:spacing w:after="0"/>
        <w:keepLines/>
      </w:pPr>
    </w:p>
    <w:p>
      <w:pPr>
        <w:pStyle w:val="ListBullet"/>
        <w:keepLines/>
        <w:spacing w:after="60"/>
      </w:pPr>
      <w:r>
        <w:t>Périmètre strict par groupement.</w:t>
      </w:r>
    </w:p>
    <w:p>
      <w:pPr>
        <w:pStyle w:val="ListBullet"/>
        <w:keepLines/>
        <w:spacing w:after="60"/>
      </w:pPr>
      <w:r>
        <w:t>Les référents ne valident pas une opération financière sans rôle dédié.</w:t>
      </w:r>
    </w:p>
    <w:p>
      <w:pPr>
        <w:pStyle w:val="Heading2"/>
        <w:keepNext/>
      </w:pPr>
      <w:r>
        <w:t>5.11 PRI - Primes et partage de revenus</w:t>
      </w:r>
    </w:p>
    <w:p>
      <w:pPr>
        <w:keepLines/>
      </w:pPr>
      <w:r>
        <w:t>Primes de mobilisation et partage de revenus.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PRI-001 - Associer chaque encaissement à une catégorie de mobilisation.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catégorie est déterminée par règle et peut être corrigée avec validation.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PRI-002 - Calculer automatiquement la prime selon taux, base et plafonds.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détail de calcul est explicable et exportable.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PRI-003 - Gérer contestations, corrections et rétrocessions.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Aucune suppression; les ajustements sont tracés.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PRI-004 - Produire un état mensuel soumis à commission de vérification.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État par agent, catégorie, membre, encaissement et montant.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PRI-005 - Valider puis figer la période de prime.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période clôturée ne change que par réouverture autorisée.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PRI-006 - Calculer la rémunération du prestataire sur encaissements éligibles.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cotisants maintenus sur l’ancien système sont exclus.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PRI-007 - Comparer encaissement brut, frais canal, prime et net CNPM.</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rapport de réconciliation détaille chaque composante.</w:t>
            </w:r>
          </w:p>
        </w:tc>
      </w:tr>
    </w:tbl>
    <w:p>
      <w:pPr>
        <w:spacing w:after="0"/>
        <w:keepLines/>
      </w:pPr>
    </w:p>
    <w:p>
      <w:pPr>
        <w:pStyle w:val="ListBullet"/>
        <w:keepLines/>
        <w:spacing w:after="60"/>
      </w:pPr>
      <w:r>
        <w:t>Règles versionnées et double validation.</w:t>
      </w:r>
    </w:p>
    <w:p>
      <w:pPr>
        <w:pStyle w:val="ListBullet"/>
        <w:keepLines/>
        <w:spacing w:after="60"/>
      </w:pPr>
      <w:r>
        <w:t>Calcul reproductible jusqu’au paiement source.</w:t>
      </w:r>
    </w:p>
    <w:p>
      <w:pPr>
        <w:pStyle w:val="Heading2"/>
        <w:keepNext/>
      </w:pPr>
      <w:r>
        <w:t>5.12 GED - Gestion électronique des documents</w:t>
      </w:r>
    </w:p>
    <w:p>
      <w:pPr>
        <w:keepLines/>
      </w:pPr>
      <w:r>
        <w:t>Documents, versions, antivirus, métadonnées, liens et conservation.</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GED-001 - Stocker les documents avec type, version, date, auteur et confidentialité.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document est rattaché à un objet métier et historisé.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GED-002 - Analyser les fichiers par antivirus et contrôler extensions/tailles.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 fichier dangereux est bloqué et l’incident journalisé.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GED-003 - Gérer expiration des pièces et alertes de renouvellement.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membre et le gestionnaire sont alertés avant échéance.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GED-004 - Appliquer des durées de conservation et gel légal.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suppression respecte la politique et les litiges en cours.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GED-005 - Rechercher par métadonnées et contenu OCR.</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scans lisibles deviennent interrogeables.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GED-006 - Générer les documents depuis des modèles approuvés.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données fusionnées sont contrôlées et le modèle versionné.</w:t>
            </w:r>
          </w:p>
        </w:tc>
      </w:tr>
    </w:tbl>
    <w:p>
      <w:pPr>
        <w:spacing w:after="0"/>
        <w:keepLines/>
      </w:pPr>
    </w:p>
    <w:p>
      <w:pPr>
        <w:pStyle w:val="ListBullet"/>
        <w:keepLines/>
        <w:spacing w:after="60"/>
      </w:pPr>
      <w:r>
        <w:t>Aucun document publié sans contrôle antivirus.</w:t>
      </w:r>
    </w:p>
    <w:p>
      <w:pPr>
        <w:pStyle w:val="ListBullet"/>
        <w:keepLines/>
        <w:spacing w:after="60"/>
      </w:pPr>
      <w:r>
        <w:t>Accès par classification et objet métier.</w:t>
      </w:r>
    </w:p>
    <w:p>
      <w:pPr>
        <w:pStyle w:val="Heading2"/>
        <w:keepNext/>
      </w:pPr>
      <w:r>
        <w:t>5.13 EVT - Événements et formations</w:t>
      </w:r>
    </w:p>
    <w:p>
      <w:pPr>
        <w:keepLines/>
      </w:pPr>
      <w:r>
        <w:t>Événements, formations, inscriptions, présence et attestations.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EVT-001 - Créer événements, sessions, capacités, lieux et publics cibles.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inscriptions sont limitées selon critères et capacité.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EVT-002 - Permettre l’inscription des représentants du membre.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Confirmation et QR individuel générés.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EVT-003 - Gérer présence, certificat et satisfaction.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participation alimente l’indicateur d’engagement membre.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EVT-004 - Publier actualités et documents ciblés.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contenu peut être public, réservé ou limité à un segment.</w:t>
            </w:r>
          </w:p>
        </w:tc>
      </w:tr>
    </w:tbl>
    <w:p>
      <w:pPr>
        <w:spacing w:after="0"/>
        <w:keepLines/>
      </w:pPr>
    </w:p>
    <w:p>
      <w:pPr>
        <w:pStyle w:val="ListBullet"/>
        <w:keepLines/>
        <w:spacing w:after="60"/>
      </w:pPr>
      <w:r>
        <w:t>Capacité et conditions d’inscription contrôlées.</w:t>
      </w:r>
    </w:p>
    <w:p>
      <w:pPr>
        <w:pStyle w:val="ListBullet"/>
        <w:keepLines/>
        <w:spacing w:after="60"/>
      </w:pPr>
      <w:r>
        <w:t>Données de présence historisées.</w:t>
      </w:r>
    </w:p>
    <w:p>
      <w:pPr>
        <w:pStyle w:val="Heading2"/>
        <w:keepNext/>
      </w:pPr>
      <w:r>
        <w:t>5.14 BI - Décisionnel et reporting</w:t>
      </w:r>
    </w:p>
    <w:p>
      <w:pPr>
        <w:keepLines/>
      </w:pPr>
      <w:r>
        <w:t>KPI, rapports, exports, alertes, score de risque et prévisions.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BI-001 - Filtrer par période, exercice, membre, catégorie, secteur, groupement et canal.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filtres s’appliquent à tous les visuels cohérents.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BI-002 - Naviguer du KPI agrégé jusqu’à la transaction autorisée.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drill-down respecte les habilitations et masque les données sensibles.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BI-003 - Exporter en Excel, PDF et CSV avec horodatage.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L’export conserve filtres, auteur et date.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BI-004 - Programmer l’envoi de rapports aux destinataires autorisés.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Fréquence, format, filtre et durée de validité configurables.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BI-005 - Définir objectifs et seuils d’alerte.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alertes montrent écart, cause probable et lien vers détail.</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BI-006 - Afficher tendances, comparaisons N/N-1 et prévisions.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méthodes de prévision et marges d’incertitude sont documentées.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BI-007 - Maintenir un dictionnaire des KPI.</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Définition, formule, source, fréquence et propriétaire accessibles.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BI-008 - Permettre des tableaux de bord personnalisés par rôle.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L’utilisateur peut enregistrer sa vue sans modifier la vue institutionnelle.</w:t>
            </w:r>
          </w:p>
        </w:tc>
      </w:tr>
    </w:tbl>
    <w:p>
      <w:pPr>
        <w:spacing w:after="0"/>
        <w:keepLines/>
      </w:pPr>
    </w:p>
    <w:p>
      <w:pPr>
        <w:pStyle w:val="ListBullet"/>
        <w:keepLines/>
        <w:spacing w:after="60"/>
      </w:pPr>
      <w:r>
        <w:t>Définitions KPI gouvernées.</w:t>
      </w:r>
    </w:p>
    <w:p>
      <w:pPr>
        <w:pStyle w:val="ListBullet"/>
        <w:keepLines/>
        <w:spacing w:after="60"/>
      </w:pPr>
      <w:r>
        <w:t>Les rapports officiels sont reproductibles et signés si nécessaire.</w:t>
      </w:r>
    </w:p>
    <w:p>
      <w:pPr>
        <w:pStyle w:val="Heading2"/>
        <w:keepNext/>
      </w:pPr>
      <w:r>
        <w:t>5.15 SEC - Sécurité et identité</w:t>
      </w:r>
    </w:p>
    <w:p>
      <w:pPr>
        <w:keepLines/>
      </w:pPr>
      <w:r>
        <w:t>Identité, authentification, 2FA, rôles, permissions et revues.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SEC-001 - Imposer 2FA aux administrateurs, financiers et comptes sensibles.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TOTP, application d’authentification ou OTP; SMS en secours contrôlé.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SEC-002 - Appliquer une authentification adaptative selon risque.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Nouvel appareil, pays inhabituel ou action sensible déclenche une étape supplémentaire.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SEC-003 - Gérer politique de mot de passe, verrouillage et récupération sécurisée.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récupération ne révèle pas l’existence d’un compte.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SEC-004 - Révoquer sessions et appareils depuis le profil.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L’utilisateur voit les sessions actives et peut les fermer.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SEC-005 - Supporter SSO/OIDC pour les agents CNPM.</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Intégration à un fournisseur d’identité possible sans refonte.</w:t>
            </w:r>
          </w:p>
        </w:tc>
      </w:tr>
    </w:tbl>
    <w:p>
      <w:pPr>
        <w:spacing w:after="0"/>
        <w:keepLines/>
      </w:pPr>
    </w:p>
    <w:p>
      <w:pPr>
        <w:pStyle w:val="ListBullet"/>
        <w:keepLines/>
        <w:spacing w:after="60"/>
      </w:pPr>
      <w:r>
        <w:t>Refus par défaut.</w:t>
      </w:r>
    </w:p>
    <w:p>
      <w:pPr>
        <w:pStyle w:val="ListBullet"/>
        <w:keepLines/>
        <w:spacing w:after="60"/>
      </w:pPr>
      <w:r>
        <w:t>Step-up pour actions critiques.</w:t>
      </w:r>
    </w:p>
    <w:p>
      <w:pPr>
        <w:pStyle w:val="Heading2"/>
        <w:keepNext/>
      </w:pPr>
      <w:r>
        <w:t>5.16 AUD - Audit et conformité</w:t>
      </w:r>
    </w:p>
    <w:p>
      <w:pPr>
        <w:keepLines/>
      </w:pPr>
      <w:r>
        <w:t>Journaux d’audit, sécurité, consultations et preuves.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AUD-001 - Journaliser connexions, consultations sensibles, créations, modifications, validations et exports.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Événement, auteur, horodatage, objet, avant/après, IP/appareil et résultat.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AUD-002 - Rendre les journaux inaltérables et consultables par l’auditeur.</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utilisateurs opérationnels ne peuvent ni modifier ni supprimer.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AUD-003 - Rechercher et exporter les événements pour une période.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Export signé/horodaté avec filtres et motif d’accès.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AUD-004 - Déclencher alertes sur événements critiques.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Exemples : compte privilégié, changement bancaire, export massif, échecs répétés.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AUD-005 - Définir la durée de conservation par type de journal.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politique est paramétrable et conforme aux obligations applicables.</w:t>
            </w:r>
          </w:p>
        </w:tc>
      </w:tr>
    </w:tbl>
    <w:p>
      <w:pPr>
        <w:spacing w:after="0"/>
        <w:keepLines/>
      </w:pPr>
    </w:p>
    <w:p>
      <w:pPr>
        <w:pStyle w:val="ListBullet"/>
        <w:keepLines/>
        <w:spacing w:after="60"/>
      </w:pPr>
      <w:r>
        <w:t>Append-only.</w:t>
      </w:r>
    </w:p>
    <w:p>
      <w:pPr>
        <w:pStyle w:val="ListBullet"/>
        <w:keepLines/>
        <w:spacing w:after="60"/>
      </w:pPr>
      <w:r>
        <w:t>Accès auditeur distinct et traçable.</w:t>
      </w:r>
    </w:p>
    <w:p>
      <w:pPr>
        <w:pStyle w:val="Heading2"/>
        <w:keepNext/>
      </w:pPr>
      <w:r>
        <w:t>5.17 INT - Intégrations et interopérabilité</w:t>
      </w:r>
    </w:p>
    <w:p>
      <w:pPr>
        <w:keepLines/>
      </w:pPr>
      <w:r>
        <w:t>Partenaires, webhooks, événements, reprises et interopérabilité.</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INT-001 - Prévoir un identifiant de correspondance externe par entreprise.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Plusieurs identifiants externes peuvent être liés sans remplacer l’ID CNPM.</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INT-002 - Versionner les API et contrats d’échange.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nouvelle version n’interrompt pas les consommateurs existants.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INT-003 - Gérer consentement et base légale avant tout échange.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Chaque flux est documenté et autorisé.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INT-004 - Tracer l’origine, la date et la qualité de chaque donnée importée.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provenance reste visible et auditable.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INT-005 - Résoudre les conflits de données selon règles de confiance.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Aucune donnée CNPM validée n’est écrasée silencieusement.</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INT-006 - Tester l’intégration dans un environnement sandbox.</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Jeux de données fictifs, clés distinctes et journal de tests.</w:t>
            </w:r>
          </w:p>
        </w:tc>
      </w:tr>
    </w:tbl>
    <w:p>
      <w:pPr>
        <w:spacing w:after="0"/>
        <w:keepLines/>
      </w:pPr>
    </w:p>
    <w:p>
      <w:pPr>
        <w:pStyle w:val="ListBullet"/>
        <w:keepLines/>
        <w:spacing w:after="60"/>
      </w:pPr>
      <w:r>
        <w:t>Secrets externalisés.</w:t>
      </w:r>
    </w:p>
    <w:p>
      <w:pPr>
        <w:pStyle w:val="ListBullet"/>
        <w:keepLines/>
        <w:spacing w:after="60"/>
      </w:pPr>
      <w:r>
        <w:t>Circuit breaker, retry et dead-letter queue.</w:t>
      </w:r>
    </w:p>
    <w:p>
      <w:pPr>
        <w:pStyle w:val="Heading2"/>
        <w:keepNext/>
      </w:pPr>
      <w:r>
        <w:t>5.18 DB - PostgreSQL et données</w:t>
      </w:r>
    </w:p>
    <w:p>
      <w:pPr>
        <w:keepLines/>
      </w:pPr>
      <w:r>
        <w:t>Schémas PostgreSQL, migrations, intégrité, sauvegarde et performance.</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DB-001 - Utiliser PostgreSQL comme seul SGBD relationnel de production.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bases métier, Keycloak, Flowable et métadonnées BI utilisent PostgreSQL; H2 est limité aux tests locaux.</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DB-002 - Maintenir PostgreSQL sur une version officiellement supportée et le dernier correctif mineur validé.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La matrice de versions indique date d'installation, patch, fin de support et plan de montée de version.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DB-003 - Séparer les domaines par schémas et propriétaires techniques distincts.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Exemples : member, contribution, payment, recovery, service, governance, integration, audit, reporting.</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DB-004 - Employer des clés techniques UUID et des numéros métiers lisibles séparés.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 changement de numéro métier ne modifie jamais la clé ni les relations.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DB-005 - Stocker les montants en NUMERIC avec code devise et règles d'arrondi explicites.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 type flottant n'est utilisé pour une cotisation, prime, commission, frais ou solde.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DB-006 - Stocker les horodatages en TIMESTAMPTZ et afficher selon Africa/Bamako.</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L'instant UTC, le fuseau d'affichage et la date métier restent non ambigus.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DB-007 - Imposer clés étrangères, unicité, CHECK et transactions sur les invariants métier.</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incohérences critiques sont rejetées même si elles proviennent d'un import ou d'une API.</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DB-008 - Rendre les écritures financières validées append-only.</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Aucune suppression physique; annulation et correction par écritures compensatrices liées.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DB-009 - Garantir l'idempotence par contraintes uniques et clés de déduplication.</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transaction externe, un webhook ou un lot rejoué ne peut être comptabilisé deux fois.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DB-010 - Limiter JSONB aux métadonnées extensibles non critiques.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champs de recherche, calcul, contrôle ou reporting sont modélisés en colonnes typées.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DB-011 - Indexer et partitionner selon des mesures réelles.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B-tree par défaut; GIN/pg_trgm pour recherche; partitionnement des audits, événements et notifications si nécessaire.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DB-012 - Appliquer les migrations par Flyway dans la CI/CD.</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Scripts versionnés, revus, testés sur copie représentative et compatibles avec un déploiement progressif.</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DB-013 - Mettre en place sauvegardes chiffrées, archivage WAL et PITR.</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RPO 15 min et RTO 4 h démontrés par un test de restauration documenté.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DB-014 - Prévoir haute disponibilité et lecture décisionnelle séparée.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Standby répliqué et bascule testée; BI sur réplique ou vues dédiées, jamais par requêtes lourdes sur le primaire.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DB-015 - Superviser capacité, verrous, réplication, vacuum et requêtes lentes.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Alertes, pg_stat_statements, seuils et runbooks d'intervention disponibles.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DB-016 - Assurer la réversibilité PostgreSQL complète.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Exports SQL et formats ouverts, schéma, dictionnaire, migrations, pièces et contrôles d’intégrité sont remis au CNPM.</w:t>
            </w:r>
          </w:p>
        </w:tc>
      </w:tr>
    </w:tbl>
    <w:p>
      <w:pPr>
        <w:spacing w:after="0"/>
        <w:keepLines/>
      </w:pPr>
    </w:p>
    <w:p>
      <w:pPr>
        <w:pStyle w:val="ListBullet"/>
        <w:keepLines/>
        <w:spacing w:after="60"/>
      </w:pPr>
      <w:r>
        <w:t>Flyway obligatoire.</w:t>
      </w:r>
    </w:p>
    <w:p>
      <w:pPr>
        <w:pStyle w:val="ListBullet"/>
        <w:keepLines/>
        <w:spacing w:after="60"/>
      </w:pPr>
      <w:r>
        <w:t>PITR et restauration testés.</w:t>
      </w:r>
    </w:p>
    <w:p>
      <w:pPr>
        <w:pStyle w:val="Heading2"/>
        <w:keepNext/>
      </w:pPr>
      <w:r>
        <w:t>5.19 TEC - Architecture technique et exploitation</w:t>
      </w:r>
    </w:p>
    <w:p>
      <w:pPr>
        <w:keepLines/>
      </w:pPr>
      <w:r>
        <w:t>CI/CD, environnements, observabilité, résilience et exploitation.</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4876"/>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Exigence</w:t>
            </w:r>
          </w:p>
        </w:tc>
        <w:tc>
          <w:tcPr>
            <w:tcW w:type="dxa" w:w="113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Priorité</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Critère d’acceptation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TEC-001 - Démontrer que PostgreSQL est l'unique source de vérité relationnelle.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Inventaire des stockages et test de reprise prouvent qu'aucune donnée métier ne dépend uniquement d'un cache ou broker.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TEC-002 - Fournir la matrice complète des versions, licences, CVE et fins de support.</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 composant en fin de vie ou sans correctif de sécurité dans la version candidate.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TEC-003 - Interdire tout accès direct des applications clientes à PostgreSQL.</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Web et mobile passent exclusivement par les API authentifiées et autorisées.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TEC-004 - Reproduire un environnement depuis le code et les artefacts versionnés.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Installation automatisée sur environnement vierge avec résultat documenté.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TEC-005 - Démontrer SSO, 2FA et séparation des rôles.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Scénarios positifs/négatifs pour administrateur, finance, agent, auditeur et membre.</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TEC-006 - Restaurer PostgreSQL à un instant choisi.</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RPO/RTO mesurés, contrôles fonctionnels et rapprochement financier après restauration.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TEC-007 - Tester la bascule d'un nœud applicatif et de la base.</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Aucune perte de transaction confirmée; reprise dans le SLA approuvé.</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TEC-008 - Valider les performances et la faible connectivité.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Les seuils de la section 17.4 sont atteints sur un jeu de données et une charge représentatifs.</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TEC-009 - Prouver l'idempotence des paiements et webhooks.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Le même message rejoué plusieurs fois produit un seul effet financier.</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TEC-010 - Corréler logs, métriques et traces.</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Should</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Une transaction de test est suivie de l'interface jusqu'à PostgreSQL et aux intégrations par correlation_id.</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TEC-011 - Appliquer les portes de sécurité CI/CD.</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Un secret de test, une vulnérabilité critique et un test échoué bloquent effectivement la promotion.</w:t>
            </w:r>
          </w:p>
        </w:tc>
      </w:tr>
      <w:tr>
        <w:tc>
          <w:tcPr>
            <w:tcW w:type="dxa" w:w="4876"/>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TEC-012 - Exécuter un exercice de réversibilité.</w:t>
            </w:r>
          </w:p>
        </w:tc>
        <w:tc>
          <w:tcPr>
            <w:tcW w:type="dxa" w:w="113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Must</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Code, images, configuration, schéma, migrations, données et pièces sont exportés puis réinstallés sous contrôle CNPM.</w:t>
            </w:r>
          </w:p>
        </w:tc>
      </w:tr>
    </w:tbl>
    <w:p>
      <w:pPr>
        <w:spacing w:after="0"/>
        <w:keepLines/>
      </w:pPr>
    </w:p>
    <w:p>
      <w:pPr>
        <w:pStyle w:val="ListBullet"/>
        <w:keepLines/>
        <w:spacing w:after="60"/>
      </w:pPr>
      <w:r>
        <w:t>Infrastructure as Code.</w:t>
      </w:r>
    </w:p>
    <w:p>
      <w:pPr>
        <w:pStyle w:val="ListBullet"/>
        <w:keepLines/>
        <w:spacing w:after="60"/>
      </w:pPr>
      <w:r>
        <w:t>Aucune image latest ni déploiement sans preuve.</w:t>
      </w:r>
    </w:p>
    <w:p>
      <w:pPr>
        <w:pStyle w:val="Heading1"/>
        <w:pageBreakBefore/>
        <w:pBdr>
          <w:bottom w:val="single" w:sz="8" w:space="4" w:color="E30613"/>
        </w:pBdr>
        <w:keepNext/>
      </w:pPr>
      <w:r>
        <w:t>6. Architecture des données PostgreSQL</w:t>
      </w:r>
    </w:p>
    <w:p>
      <w:pPr>
        <w:keepLines/>
      </w:pPr>
      <w:r>
        <w:t>PostgreSQL concentre l’état métier, financier, de configuration et d’audit. Les composants de cache, de recherche, de workflow et de BI ne sont jamais des sources de vérité. La reconstruction d’un état essentiel doit rester possible à partir de PostgreSQL et des documents archivés.</w:t>
      </w:r>
    </w:p>
    <w:p>
      <w:pPr>
        <w:spacing w:before="100" w:after="140"/>
        <w:ind w:left="198" w:right="85"/>
        <w:pBdr>
          <w:bottom w:val="single" w:sz="6" w:space="3" w:color="E30613"/>
        </w:pBdr>
        <w:keepLines/>
      </w:pPr>
      <w:r>
        <w:rPr>
          <w:b/>
          <w:color w:val="E30613"/>
        </w:rPr>
        <w:t xml:space="preserve">Exigence non négociable - </w:t>
      </w:r>
      <w:r>
        <w:rPr>
          <w:color w:val="1A1D24"/>
        </w:rPr>
        <w:t>Toute évolution de structure est livrée sous forme de migration Flyway versionnée. Les modifications manuelles de schéma en production sont interdites.</w:t>
      </w:r>
    </w:p>
    <w:p>
      <w:pPr>
        <w:pStyle w:val="Heading2"/>
        <w:keepNext/>
      </w:pPr>
      <w:r>
        <w:t>6.1 Organisation par schémas</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blHeader w:val="true"/>
        </w:trPr>
        <w:tc>
          <w:tcPr>
            <w:tcW w:type="dxa" w:w="136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Schéma</w:t>
            </w:r>
          </w:p>
        </w:tc>
        <w:tc>
          <w:tcPr>
            <w:tcW w:type="dxa" w:w="351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Finalité</w:t>
            </w:r>
          </w:p>
        </w:tc>
        <w:tc>
          <w:tcPr>
            <w:tcW w:type="dxa" w:w="187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Classification</w:t>
            </w:r>
          </w:p>
        </w:tc>
        <w:tc>
          <w:tcPr>
            <w:tcW w:type="dxa" w:w="243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Conservation</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ref</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Référentiels et séquences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Métier interne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Conservation active + historique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iam</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Identités, habilitations et 2FA</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Restreint</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Selon politique RH et audit</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member</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Personnes, entreprises, adhésions et groupements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Vie membre + durée légale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enrollment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Prospects et dossiers d’enrôlement</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Dossier + durée légale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contribution</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Barèmes, appels et échéanciers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Financier</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 ans minimum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payment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Transactions, allocations et rapprochement</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Financier critique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 ans minimum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receipt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Reçus et attestations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Financier critique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 ans minimum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recovery</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Campagnes et actions de recouvrement</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Durée relation + durée légale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incentive</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Primes et partage de revenus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Financier critique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 ans minimum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service</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Requêtes, réclamations et SLA</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Selon type de dossier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document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Métadonnées GED et versions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Selon catégorie documentaire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governance</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Commissions, réunions et décisions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Interne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Archives institutionnelles</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event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Événements et inscriptions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Interne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5 ans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notification</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Modèles et traces de livraison</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Confidentiel</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24 mois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integration</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Partenaires, outbox et webhooks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Restreint</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Selon audit et contrat</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 sécurité et exports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Restreint critique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10 ans minimum à confirmer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reporting</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Définitions et exécutions de rapports</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Interne</w:t>
            </w:r>
          </w:p>
        </w:tc>
        <w:tc>
          <w:tcPr>
            <w:tcW w:type="dxa" w:w="243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Selon rapport</w:t>
            </w:r>
          </w:p>
        </w:tc>
      </w:tr>
    </w:tbl>
    <w:p>
      <w:pPr>
        <w:spacing w:after="0"/>
        <w:keepLines/>
      </w:pPr>
    </w:p>
    <w:p>
      <w:pPr>
        <w:pStyle w:val="Heading2"/>
        <w:keepNext/>
      </w:pPr>
      <w:r>
        <w:t>6.2 Règles de modélisation</w:t>
      </w:r>
    </w:p>
    <w:p>
      <w:pPr>
        <w:pStyle w:val="ListBullet"/>
        <w:keepLines/>
        <w:spacing w:after="60"/>
      </w:pPr>
      <w:r>
        <w:t>Clés techniques UUID générées côté base ou application de manière compatible.</w:t>
      </w:r>
    </w:p>
    <w:p>
      <w:pPr>
        <w:pStyle w:val="ListBullet"/>
        <w:keepLines/>
        <w:spacing w:after="60"/>
      </w:pPr>
      <w:r>
        <w:t>Références métier lisibles, uniques et distinctes des clés techniques.</w:t>
      </w:r>
    </w:p>
    <w:p>
      <w:pPr>
        <w:pStyle w:val="ListBullet"/>
        <w:keepLines/>
        <w:spacing w:after="60"/>
      </w:pPr>
      <w:r>
        <w:t>Montants en numeric(19,2) ; devises en ISO 4217 avec XOF par défaut.</w:t>
      </w:r>
    </w:p>
    <w:p>
      <w:pPr>
        <w:pStyle w:val="ListBullet"/>
        <w:keepLines/>
        <w:spacing w:after="60"/>
      </w:pPr>
      <w:r>
        <w:t>Horodatages en timestamptz et dates civiles en date.</w:t>
      </w:r>
    </w:p>
    <w:p>
      <w:pPr>
        <w:pStyle w:val="ListBullet"/>
        <w:keepLines/>
        <w:spacing w:after="60"/>
      </w:pPr>
      <w:r>
        <w:t>Contraintes NOT NULL, CHECK, UNIQUE et FOREIGN KEY définies au plus près des données.</w:t>
      </w:r>
    </w:p>
    <w:p>
      <w:pPr>
        <w:pStyle w:val="ListBullet"/>
        <w:keepLines/>
        <w:spacing w:after="60"/>
      </w:pPr>
      <w:r>
        <w:t>JSONB limité aux métadonnées non critiques, validées et indexées lorsque nécessaire.</w:t>
      </w:r>
    </w:p>
    <w:p>
      <w:pPr>
        <w:pStyle w:val="ListBullet"/>
        <w:keepLines/>
        <w:spacing w:after="60"/>
      </w:pPr>
      <w:r>
        <w:t>Aucun float/double pour les montants ou taux calculés.</w:t>
      </w:r>
    </w:p>
    <w:p>
      <w:pPr>
        <w:pStyle w:val="ListBullet"/>
        <w:keepLines/>
        <w:spacing w:after="60"/>
      </w:pPr>
      <w:r>
        <w:t>Verrouillage optimiste pour les agrégats modifiables et verrou pessimiste court uniquement pour les sections critiques.</w:t>
      </w:r>
    </w:p>
    <w:p>
      <w:pPr>
        <w:pStyle w:val="ListBullet"/>
        <w:keepLines/>
        <w:spacing w:after="60"/>
      </w:pPr>
      <w:r>
        <w:t>Index créés à partir des cas d’usage et vérifiés par EXPLAIN (ANALYZE, BUFFERS).</w:t>
      </w:r>
    </w:p>
    <w:p>
      <w:pPr>
        <w:pStyle w:val="ListBullet"/>
        <w:keepLines/>
        <w:spacing w:after="60"/>
      </w:pPr>
      <w:r>
        <w:t>Les historiques financiers et d’audit sont append-only.</w:t>
      </w:r>
    </w:p>
    <w:p>
      <w:pPr>
        <w:pStyle w:val="Heading2"/>
        <w:keepNext/>
      </w:pPr>
      <w:r>
        <w:t>6.3 Modèle financier et idempotence</w:t>
      </w:r>
    </w:p>
    <w:p>
      <w:pPr>
        <w:jc w:val="center"/>
        <w:keepLines/>
      </w:pPr>
      <w:r>
        <w:drawing>
          <wp:inline xmlns:a="http://schemas.openxmlformats.org/drawingml/2006/main" xmlns:pic="http://schemas.openxmlformats.org/drawingml/2006/picture">
            <wp:extent cx="5940000" cy="1146122"/>
            <wp:docPr id="4" name="Picture 4" title="Chaîne financière" descr="Diagramme de la chaîne appel, paiement, rapprochement, confirmation et reçu"/>
            <wp:cNvGraphicFramePr>
              <a:graphicFrameLocks noChangeAspect="1"/>
            </wp:cNvGraphicFramePr>
            <a:graphic>
              <a:graphicData uri="http://schemas.openxmlformats.org/drawingml/2006/picture">
                <pic:pic>
                  <pic:nvPicPr>
                    <pic:cNvPr id="0" name="payment-flow.png"/>
                    <pic:cNvPicPr/>
                  </pic:nvPicPr>
                  <pic:blipFill>
                    <a:blip r:embed="rId12"/>
                    <a:stretch>
                      <a:fillRect/>
                    </a:stretch>
                  </pic:blipFill>
                  <pic:spPr>
                    <a:xfrm>
                      <a:off x="0" y="0"/>
                      <a:ext cx="5940000" cy="1146122"/>
                    </a:xfrm>
                    <a:prstGeom prst="rect"/>
                  </pic:spPr>
                </pic:pic>
              </a:graphicData>
            </a:graphic>
          </wp:inline>
        </w:drawing>
      </w:r>
    </w:p>
    <w:p>
      <w:pPr>
        <w:spacing w:before="60" w:after="160"/>
        <w:jc w:val="center"/>
        <w:keepLines/>
      </w:pPr>
      <w:r>
        <w:rPr>
          <w:rFonts w:ascii="Lato" w:hAnsi="Lato"/>
          <w:i/>
          <w:color w:val="5D6470"/>
          <w:sz w:val="16"/>
        </w:rPr>
        <w:t>Figure 3 - Chaîne financière contrôlée</w:t>
      </w:r>
    </w:p>
    <w:p>
      <w:pPr>
        <w:keepLines/>
      </w:pPr>
      <w:r>
        <w:t>Chaque transaction externe possède une clé d’idempotence, une référence partenaire et une empreinte de charge utile. Une répétition valide retourne le résultat existant ; une répétition incohérente est bloquée et déclenche une alerte. L’allocation d’un paiement sur une ou plusieurs échéances est transactionnelle. Le solde est dérivé des allocations confirmées, jamais d’un champ modifiable sans preuve.</w:t>
      </w:r>
    </w:p>
    <w:p>
      <w:pPr>
        <w:pStyle w:val="Heading2"/>
        <w:keepNext/>
      </w:pPr>
      <w:r>
        <w:t>6.4 Haute disponibilité, sauvegarde et reprise</w:t>
      </w:r>
    </w:p>
    <w:p>
      <w:pPr>
        <w:pStyle w:val="ListBullet"/>
        <w:keepLines/>
        <w:spacing w:after="60"/>
      </w:pPr>
      <w:r>
        <w:t>Primaire PostgreSQL et réplica en streaming dans des zones distinctes selon l’hébergement retenu.</w:t>
      </w:r>
    </w:p>
    <w:p>
      <w:pPr>
        <w:pStyle w:val="ListBullet"/>
        <w:keepLines/>
        <w:spacing w:after="60"/>
      </w:pPr>
      <w:r>
        <w:t>PgBouncer pour maîtriser les connexions et éviter la saturation.</w:t>
      </w:r>
    </w:p>
    <w:p>
      <w:pPr>
        <w:pStyle w:val="ListBullet"/>
        <w:keepLines/>
        <w:spacing w:after="60"/>
      </w:pPr>
      <w:r>
        <w:t>Sauvegardes complètes, incrémentales ou différentielles selon l’outil retenu, archivage continu des WAL et PITR.</w:t>
      </w:r>
    </w:p>
    <w:p>
      <w:pPr>
        <w:pStyle w:val="ListBullet"/>
        <w:keepLines/>
        <w:spacing w:after="60"/>
      </w:pPr>
      <w:r>
        <w:t>Chiffrement des sauvegardes, séparation des comptes et copie hors domaine de défaillance.</w:t>
      </w:r>
    </w:p>
    <w:p>
      <w:pPr>
        <w:pStyle w:val="ListBullet"/>
        <w:keepLines/>
        <w:spacing w:after="60"/>
      </w:pPr>
      <w:r>
        <w:t>Tests de restauration trimestriels au minimum et avant toute mise en production majeure.</w:t>
      </w:r>
    </w:p>
    <w:p>
      <w:pPr>
        <w:pStyle w:val="ListBullet"/>
        <w:keepLines/>
        <w:spacing w:after="60"/>
      </w:pPr>
      <w:r>
        <w:t>RPO/RTO contractuels à approuver ; la baseline de conception propose des objectifs plus stricts pour les données financières.</w:t>
      </w:r>
    </w:p>
    <w:p>
      <w:pPr>
        <w:pStyle w:val="ListBullet"/>
        <w:keepLines/>
        <w:spacing w:after="60"/>
      </w:pPr>
      <w:r>
        <w:t>Supervision des verrous, réplication, bloat, autovacuum, requêtes lentes, capacité et erreurs de sauvegarde.</w:t>
      </w:r>
    </w:p>
    <w:p>
      <w:pPr>
        <w:pStyle w:val="Heading2"/>
        <w:keepNext/>
      </w:pPr>
      <w:r>
        <w:t>6.5 Inventaire des tables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blHeader w:val="true"/>
        </w:trPr>
        <w:tc>
          <w:tcPr>
            <w:tcW w:type="dxa" w:w="238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Table</w:t>
            </w:r>
          </w:p>
        </w:tc>
        <w:tc>
          <w:tcPr>
            <w:tcW w:type="dxa" w:w="408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Finalité</w:t>
            </w:r>
          </w:p>
        </w:tc>
        <w:tc>
          <w:tcPr>
            <w:tcW w:type="dxa" w:w="90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Colonnes</w:t>
            </w:r>
          </w:p>
        </w:tc>
        <w:tc>
          <w:tcPr>
            <w:tcW w:type="dxa" w:w="102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Append-only</w:t>
            </w:r>
          </w:p>
        </w:tc>
        <w:tc>
          <w:tcPr>
            <w:tcW w:type="dxa" w:w="102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Partition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ref.reference_value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Valeurs de référentiels historisées.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ref.number_sequence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Séquences de numérotation métier.</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iam.user_account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Compte utilisateur applicatif.</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iam.role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Rôles applicatifs.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iam.permission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Permissions atomiques.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iam.role_permission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Association rôle-permission.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8</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iam.user_role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Attribution de rôle contextualisée.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iam.mfa_registration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Facteurs 2FA enregistrés.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iam.access_review</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Campagnes de revue d’accès.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member.person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Personnes physiques liées aux membres.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member.organization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Personnes morales membres ou prospects.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member.organization_identifier</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Identifiants légaux et fiscaux.</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member.address</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Adresses normalisées.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member.organization_contact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Contacts et représentants.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member.membership</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Adhésion d’une entreprise au CNPM.</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member.membership_status_history</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Historique immuable des statuts d’adhésion.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7</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member.professional_group</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Groupements professionnels.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member.group_membership</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Rattachement entreprise-groupement.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member.communication_preference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Consentements et préférences de communication.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enrollment.prospect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Prospects à convertir.</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enrollment.enrollment_case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Dossier d’enrôlement.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enrollment.enrollment_review</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Contrôles et demandes de complément.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7</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enrollment.enrollment_decision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Décisions d’enrôlement.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8</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contribution.fiscal_year</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Exercices de cotisation.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contribution.rate_rule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Barèmes versionnés.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14</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contribution.contribution_call</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Appels de cotisation.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14</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contribution.installment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Échéances d’un appel.</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contribution.adjustment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Ajustements financiers compensatoires.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payment.payment_reference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Références uniques de paiement validées par le CNPM.</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payment.payment_transaction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Transactions financières append-only.</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RANGE(paid_at) mensuel à partir du seuil défini</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payment.payment_allocation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Affectations paiement-échéance.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7</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payment.provider_event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Événements entrants des prestataires de paiement.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RANGE(received_at) mensuel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payment.bank_statement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Relevés bancaires importés.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payment.bank_statement_line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Lignes de relevé bancaire.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RANGE(booking_date) annuel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payment.reconciliation_case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Cas de rapprochement automatique ou manuel.</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receipt.receipt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Reçus officiels et versions de correction.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recovery.campaign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Campagnes de recouvrement.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recovery.sequence_template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Scénarios de relance.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recovery.sequence_step</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Étapes d’un scénario.</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recovery.recovery_case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Dossier de recouvrement par adhésion/exercice.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recovery.recovery_action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Journal des actions de recouvrement.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recovery.promise_to_pay</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Promesses de paiement.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incentive.bonus_rule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Règles de prime de mobilisation.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14</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incentive.bonus_calculation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État mensuel de primes.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incentive.bonus_line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Détail de prime par encaissement.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incentive.revenue_share_statement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État de rémunération du prestataire.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incentive.financial_dispute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Litiges de calcul.</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service.sla_policy</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Politiques de délai.</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service.request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Requêtes et réclamations des membres.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16</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service.request_message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Échanges liés à une requête.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7</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document.document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Métadonnées documentaires.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document.document_version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Versions physiques stockées en objet S3.</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document.document_link</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Liens document-objet métier.</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governance.commission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Commissions et organes.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governance.meeting</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Réunions institutionnelles.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governance.meeting_attendance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Présences et procurations.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governance.decision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Décisions et résolutions.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governance.decision_action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Actions de mise en œuvre.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event.event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Événements et formations.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event.registration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Inscriptions à un événement.</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notification.template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Modèles de notifications versionnés.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notification.notification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Notification à envoyer.</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notification.delivery_attempt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Tentatives de livraison.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integration.partner</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Partenaires et systèmes externes.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integration.endpoint_configuration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Configuration non secrète des endpoints.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integration.outbox_event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Outbox transactionnelle.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RANGE(created_at) mensuel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integration.webhook_subscription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Abonnements sortants.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11</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integration.webhook_delivery</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Livraisons de webhooks.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audit.audit_event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Journal d’audit métier inviolable.</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RANGE(created_at) mensuel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audit.security_event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Événements de sécurité.</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9</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RANGE(created_at) mensuel</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audit.data_export</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Registre des exports de données.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10</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reporting.report_definition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Catalogue des rapports.</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12</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r>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reporting.report_execution</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Historique d’exécution.</w:t>
            </w:r>
          </w:p>
        </w:tc>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13</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r>
    </w:tbl>
    <w:p>
      <w:pPr>
        <w:spacing w:after="0"/>
        <w:keepLines/>
      </w:pPr>
    </w:p>
    <w:p>
      <w:pPr>
        <w:spacing w:before="100" w:after="140"/>
        <w:ind w:left="198" w:right="85"/>
        <w:pBdr>
          <w:bottom w:val="single" w:sz="6" w:space="3" w:color="1F3A93"/>
        </w:pBdr>
        <w:keepLines/>
      </w:pPr>
      <w:r>
        <w:rPr>
          <w:b/>
          <w:color w:val="1F3A93"/>
        </w:rPr>
        <w:t xml:space="preserve">Dictionnaire complet - </w:t>
      </w:r>
      <w:r>
        <w:rPr>
          <w:color w:val="1A1D24"/>
        </w:rPr>
        <w:t>Le classeur CNPM_Dictionnaire_Donnees_PostgreSQL.xlsx documente chaque colonne, type, nullabilité, valeur par défaut, classification, unicité et indexation.</w:t>
      </w:r>
    </w:p>
    <w:p>
      <w:pPr>
        <w:pStyle w:val="Heading1"/>
        <w:pageBreakBefore/>
        <w:pBdr>
          <w:bottom w:val="single" w:sz="8" w:space="4" w:color="E30613"/>
        </w:pBdr>
        <w:keepNext/>
      </w:pPr>
      <w:r>
        <w:t>7. API, événements et intégrations</w:t>
      </w:r>
    </w:p>
    <w:p>
      <w:pPr>
        <w:keepLines/>
      </w:pPr>
      <w:r>
        <w:t>Les API synchrones sont définies dans un contrat OpenAPI 3.1. Les événements asynchrones sont décrits dans AsyncAPI. Les contrats précèdent le code, sont versionnés, validés en CI et testés par consommateurs.</w:t>
      </w:r>
    </w:p>
    <w:p>
      <w:pPr>
        <w:pStyle w:val="Heading2"/>
        <w:keepNext/>
      </w:pPr>
      <w:r>
        <w:t>7.1 Conventions API</w:t>
      </w:r>
    </w:p>
    <w:p>
      <w:pPr>
        <w:pStyle w:val="ListBullet"/>
        <w:keepLines/>
        <w:spacing w:after="60"/>
      </w:pPr>
      <w:r>
        <w:t>Préfixe /api/v1, ressources au pluriel et identifiants stables.</w:t>
      </w:r>
    </w:p>
    <w:p>
      <w:pPr>
        <w:pStyle w:val="ListBullet"/>
        <w:keepLines/>
        <w:spacing w:after="60"/>
      </w:pPr>
      <w:r>
        <w:t>OAuth 2.0/OIDC, contrôle de permission et périmètre côté serveur.</w:t>
      </w:r>
    </w:p>
    <w:p>
      <w:pPr>
        <w:pStyle w:val="ListBullet"/>
        <w:keepLines/>
        <w:spacing w:after="60"/>
      </w:pPr>
      <w:r>
        <w:t>Pagination bornée, tri et filtres explicitement documentés.</w:t>
      </w:r>
    </w:p>
    <w:p>
      <w:pPr>
        <w:pStyle w:val="ListBullet"/>
        <w:keepLines/>
        <w:spacing w:after="60"/>
      </w:pPr>
      <w:r>
        <w:t>Erreur normalisée avec code, message, détails, timestamp et correlationId.</w:t>
      </w:r>
    </w:p>
    <w:p>
      <w:pPr>
        <w:pStyle w:val="ListBullet"/>
        <w:keepLines/>
        <w:spacing w:after="60"/>
      </w:pPr>
      <w:r>
        <w:t>En-tête Idempotency-Key pour les créations et callbacks sensibles.</w:t>
      </w:r>
    </w:p>
    <w:p>
      <w:pPr>
        <w:pStyle w:val="ListBullet"/>
        <w:keepLines/>
        <w:spacing w:after="60"/>
      </w:pPr>
      <w:r>
        <w:t>ETag ou version optimiste pour les mises à jour concurrentes lorsque pertinent.</w:t>
      </w:r>
    </w:p>
    <w:p>
      <w:pPr>
        <w:pStyle w:val="ListBullet"/>
        <w:keepLines/>
        <w:spacing w:after="60"/>
      </w:pPr>
      <w:r>
        <w:t>Exports asynchrones pour les volumes importants, avec durée de disponibilité limitée.</w:t>
      </w:r>
    </w:p>
    <w:p>
      <w:pPr>
        <w:pStyle w:val="ListBullet"/>
        <w:keepLines/>
        <w:spacing w:after="60"/>
      </w:pPr>
      <w:r>
        <w:t>Webhooks signés, datés, rejouables de manière sûre et surveillés.</w:t>
      </w:r>
    </w:p>
    <w:p>
      <w:pPr>
        <w:pStyle w:val="Heading2"/>
        <w:keepNext/>
      </w:pPr>
      <w:r>
        <w:t>7.2 Catalogue OpenAPI</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510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Tag</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Opérations</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ADMIN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3</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AUDIT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AUTH</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CONTRIBUTION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DOCUMENT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ENROLLMENT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EVENT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GROUP</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INCENTIVE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INTEGRATION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MEMBER</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PAYMENT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9</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PORTAL</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RECEIPT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RECOVERY</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6</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REPORT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51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REQUEST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5</w:t>
            </w:r>
          </w:p>
        </w:tc>
      </w:tr>
    </w:tbl>
    <w:p>
      <w:pPr>
        <w:spacing w:after="0"/>
        <w:keepLines/>
      </w:pP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blHeader w:val="true"/>
        </w:trPr>
        <w:tc>
          <w:tcPr>
            <w:tcW w:type="dxa" w:w="90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Méthode</w:t>
            </w:r>
          </w:p>
        </w:tc>
        <w:tc>
          <w:tcPr>
            <w:tcW w:type="dxa" w:w="294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Chemin</w:t>
            </w:r>
          </w:p>
        </w:tc>
        <w:tc>
          <w:tcPr>
            <w:tcW w:type="dxa" w:w="209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OperationId</w:t>
            </w:r>
          </w:p>
        </w:tc>
        <w:tc>
          <w:tcPr>
            <w:tcW w:type="dxa" w:w="141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Domaine</w:t>
            </w:r>
          </w:p>
        </w:tc>
        <w:tc>
          <w:tcPr>
            <w:tcW w:type="dxa" w:w="181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Résumé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/auth/me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getCurrentUser</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AUTH</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Lire le profil, les rôles et le périmètre courant.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/auth/step-up</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requestStepUp</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AUTH</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Déclencher une authentification renforcée.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/reference-values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listReferenceValues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ADMIN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valeurs de référentiel.</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/reference-values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createReferenceValue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ADMIN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valeur de référentiel.</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PATCH</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/reference-values/{id}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updateReferenceValue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ADMIN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Mettre à jour une valeur de référentiel.</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listOrganizations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Rechercher les entreprises.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createOrganization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entreprise.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getOrganization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la fiche 360°.</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PATCH</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updateOrganization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Mettre à jour une entreprise.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/organizations/{id}/history</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getOrganizationHistory</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l’historique.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/memberships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listMemberships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adhésions.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/memberships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createMembership</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MEMBER</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adhésion.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listEnrollmentApplications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dossiers d’enrôlement.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 dossier.</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un dossier.</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PATCH</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updateEnrollmentApplication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Modifier un brouillon.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/enrollment-applications/{id}/submit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submitEnrollmentApplication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Soumettre le dossier.</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/enrollment-applications/{id}/request-complement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requestEnrollmentComplement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Demander un complément.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/enrollment-applications/{id}/approve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approveEnrollmentApplication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Approuver et activer.</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/enrollment-applications/{id}/reject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rejectEnrollmentApplication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ENROLLMENT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Rejeter avec motif.</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/contribution-rules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listContributionRules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barèmes.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/contribution-rules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createContributionRule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version de barème.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/contribution-rules/{id}/publish</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publishContributionRule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Publier après validation.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/contribution-calls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listContributionCalls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appels.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/contribution-campaigns/simulate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simulateContributionCampaign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Simuler une campagne.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/contribution-campaigns/{id}/issue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issueContributionCampaign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Émettre les appels.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/organizations/{id}/account-statement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getAccountStatement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CONTRIBUTION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Produire une situation de compte.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/payment-references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createPaymentReference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référence validée CNPM.</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listPayments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transactions.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getPayment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une transaction.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/payments/{id}/confirm</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confirmPayment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Confirmer un paiement rapproché.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/payment-provider-events/{partnerCode}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receivePaymentProviderEvent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Recevoir un callback signé.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/bank-statements/import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importBankStatement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Importer un relevé bancaire.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/reconciliations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listReconciliations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rapprochements.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/reconciliations/{id}/decide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decideReconciliation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Accepter ou rejeter une proposition.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/payments/{id}/refunds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requestRefund</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PAYMENT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Initier un remboursement contrôlé.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listReceipts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reçus.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getReceipt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Télécharger un reçu.</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/receipts/verify/{token}</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verifyReceipt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Vérifier publiquement un reçu.</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/receipts/{id}/cancel</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cancelReceipt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RECEIPT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Annuler et remplacer un reçu.</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/collection-campaigns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listCollectionCampaigns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campagnes.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/collection-campaigns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createCollectionCampaign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une campagne.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/collection-campaigns/{id}/launch</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launchCollectionCampaign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Lancer une séquence.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/recovery-cases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listRecoveryCases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dossiers de recouvrement.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/recovery-cases/{id}/actions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recordRecoveryAction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Tracer une action.</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/recovery-cases/{id}/promises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createPromiseToPay</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RECOVERY</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Enregistrer une promesse.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/portal/dashboard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getMemberDashboard</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Afficher la synthèse membre.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/portal/contributions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getMemberContributions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Afficher cotisations et soldes.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/portal/payments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getMemberPayments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Afficher paiements et statuts.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/portal/documents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getMemberDocuments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PORTAL</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Afficher reçus et attestations.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/service-requests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listServiceRequests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requêtes.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/service-requests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createServiceRequest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Soumettre une requête.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/service-requests/{id}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getServiceRequest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une requête.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/service-requests/{id}/messages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addServiceRequestMessage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Ajouter un échange.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/service-requests/{id}/close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closeServiceRequest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REQUEST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Clôturer avec preuve.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/professional-groups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listProfessionalGroups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GROUP</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groupements.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/professional-groups/{id}/dashboard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getGroupDashboard</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GROUP</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Afficher le tableau sectoriel.</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/bonus-calculations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listBonusCalculations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INCENTIVE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primes.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/bonus-calculations/run</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runBonusCalculation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INCENTIVE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Calculer une période.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/bonus-calculations/{id}/approve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approveBonusCalculation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INCENTIVE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Valider à quatre yeux.</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/revenue-share-statements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listRevenueShareStatements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INCENTIVE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états prestataire.</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/documents/upload-sessions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createDocumentUploadSession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 téléversement sécurisé.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/documents/upload-sessions/{id}/complete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completeDocumentUpload</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Finaliser après antivirus.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getDocument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Consulter les métadonnées.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/documents/{id}/download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downloadDocument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DOCUMENT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Télécharger selon droits.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listEvents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événements et formations.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createEvent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 événement.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/events/{id}/registrations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registerForEvent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Inscrire un participant.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/events/{id}/attendance/import</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importAttendance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EVENT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Importer les présences.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/dashboards/{code}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getDashboard</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REPORT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Restituer un tableau de bord.</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/reports/{code}/execute</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executeReport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REPORT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Exécuter un rapport.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/exports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createExport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REPORT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 export audité.</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/exports/{id}</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getExportStatus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REPORT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Suivre un export.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/audit-events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searchAuditEvents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AUDIT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Rechercher la piste d’audit.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/audit-exports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createAuditExport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AUDIT</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Générer une preuve d’audit.</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GET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/integration-partners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listIntegrationPartners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INTEGRATION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Lister les partenaires.</w:t>
            </w:r>
          </w:p>
        </w:tc>
      </w:tr>
      <w:tr>
        <w:tc>
          <w:tcPr>
            <w:tcW w:type="dxa" w:w="90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POST</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/webhook-subscriptions</w:t>
            </w:r>
          </w:p>
        </w:tc>
        <w:tc>
          <w:tcPr>
            <w:tcW w:type="dxa" w:w="209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createWebhookSubscription</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INTEGRATION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Créer un abonnement sortant.</w:t>
            </w:r>
          </w:p>
        </w:tc>
      </w:tr>
    </w:tbl>
    <w:p>
      <w:pPr>
        <w:spacing w:after="0"/>
        <w:keepLines/>
      </w:pPr>
    </w:p>
    <w:p>
      <w:pPr>
        <w:pStyle w:val="Heading2"/>
        <w:keepNext/>
      </w:pPr>
      <w:r>
        <w:t>7.3 Événements AsyncAPI</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351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Canal / événement</w:t>
            </w:r>
          </w:p>
        </w:tc>
        <w:tc>
          <w:tcPr>
            <w:tcW w:type="dxa" w:w="5669"/>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Finalité</w:t>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MemberActivated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ContributionCallIssued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PaymentReceived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PaymentConfirmed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ReceiptIssued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RecoveryActionDue</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RequestSlaBreached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DocumentScanCompleted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NotificationRequested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r>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AuditAlertRaised</w:t>
            </w:r>
          </w:p>
        </w:tc>
        <w:tc>
          <w:tcPr>
            <w:tcW w:type="dxa" w:w="56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r>
          </w:p>
        </w:tc>
      </w:tr>
    </w:tbl>
    <w:p>
      <w:pPr>
        <w:spacing w:after="0"/>
        <w:keepLines/>
      </w:pPr>
    </w:p>
    <w:p>
      <w:pPr>
        <w:pStyle w:val="Heading2"/>
        <w:keepNext/>
      </w:pPr>
      <w:r>
        <w:t>7.4 Profils d’intégration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blHeader w:val="true"/>
        </w:trPr>
        <w:tc>
          <w:tcPr>
            <w:tcW w:type="dxa" w:w="175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Partenaire</w:t>
            </w:r>
          </w:p>
        </w:tc>
        <w:tc>
          <w:tcPr>
            <w:tcW w:type="dxa" w:w="226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Canal</w:t>
            </w:r>
          </w:p>
        </w:tc>
        <w:tc>
          <w:tcPr>
            <w:tcW w:type="dxa" w:w="408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Contrôles obligatoires</w:t>
            </w:r>
          </w:p>
        </w:tc>
        <w:tc>
          <w:tcPr>
            <w:tcW w:type="dxa" w:w="107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Criticité</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Mobile Money</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API HTTPS + callback signé</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Idempotence, signature, timeout, retry, statut partenaire et rapprochement.</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Critique</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Banques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API, ISO 20022, MT940 ou CSV contrôlé</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Références uniques, import sécurisé, contrôle de doublon et justification des écarts.</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Critique</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SMS / e-mail</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API fournisseur</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Templates approuvés, consentement, suivi d’envoi, limitation et désinscription.</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Élevé</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Stockage objet</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API S3 compatible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Chiffrement, versioning, rétention, antivirus et URL temporaires.</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Élevé</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INPS</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API future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Mapping, consentement, sandbox, rapprochement d’identifiants et gouvernance de données.</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À cadrer</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Signature / QR</w:t>
            </w:r>
          </w:p>
        </w:tc>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Service interne ou prestataire</w:t>
            </w:r>
          </w:p>
        </w:tc>
        <w:tc>
          <w:tcPr>
            <w:tcW w:type="dxa" w:w="408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Scellement, vérification publique minimale et journal de preuve.</w:t>
            </w:r>
          </w:p>
        </w:tc>
        <w:tc>
          <w:tcPr>
            <w:tcW w:type="dxa" w:w="107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Critique</w:t>
            </w:r>
          </w:p>
        </w:tc>
      </w:tr>
    </w:tbl>
    <w:p>
      <w:pPr>
        <w:spacing w:after="0"/>
        <w:keepLines/>
      </w:pPr>
    </w:p>
    <w:p>
      <w:pPr>
        <w:pStyle w:val="Heading1"/>
        <w:pageBreakBefore/>
        <w:pBdr>
          <w:bottom w:val="single" w:sz="8" w:space="4" w:color="E30613"/>
        </w:pBdr>
        <w:keepNext/>
      </w:pPr>
      <w:r>
        <w:t>8. Sécurité, identité et habilitations</w:t>
      </w:r>
    </w:p>
    <w:p>
      <w:pPr>
        <w:keepLines/>
      </w:pPr>
      <w:r>
        <w:t>La sécurité repose sur une défense en profondeur couvrant identité, application, données, intégrations, infrastructure, chaîne logicielle et exploitation. Le modèle est « zero trust » au sens opérationnel : chaque accès est authentifié, autorisé, limité au périmètre et audité.</w:t>
      </w:r>
    </w:p>
    <w:p>
      <w:pPr>
        <w:jc w:val="center"/>
        <w:keepLines/>
      </w:pPr>
      <w:r>
        <w:drawing>
          <wp:inline xmlns:a="http://schemas.openxmlformats.org/drawingml/2006/main" xmlns:pic="http://schemas.openxmlformats.org/drawingml/2006/picture">
            <wp:extent cx="2592000" cy="5559840"/>
            <wp:docPr id="5" name="Picture 5" title="Couches de sécurité" descr="Diagramme de la défense en profondeur de la plateforme"/>
            <wp:cNvGraphicFramePr>
              <a:graphicFrameLocks noChangeAspect="1"/>
            </wp:cNvGraphicFramePr>
            <a:graphic>
              <a:graphicData uri="http://schemas.openxmlformats.org/drawingml/2006/picture">
                <pic:pic>
                  <pic:nvPicPr>
                    <pic:cNvPr id="0" name="security-layers.png"/>
                    <pic:cNvPicPr/>
                  </pic:nvPicPr>
                  <pic:blipFill>
                    <a:blip r:embed="rId13"/>
                    <a:stretch>
                      <a:fillRect/>
                    </a:stretch>
                  </pic:blipFill>
                  <pic:spPr>
                    <a:xfrm>
                      <a:off x="0" y="0"/>
                      <a:ext cx="2592000" cy="5559840"/>
                    </a:xfrm>
                    <a:prstGeom prst="rect"/>
                  </pic:spPr>
                </pic:pic>
              </a:graphicData>
            </a:graphic>
          </wp:inline>
        </w:drawing>
      </w:r>
    </w:p>
    <w:p>
      <w:pPr>
        <w:spacing w:before="60" w:after="160"/>
        <w:jc w:val="center"/>
        <w:keepLines/>
      </w:pPr>
      <w:r>
        <w:rPr>
          <w:rFonts w:ascii="Lato" w:hAnsi="Lato"/>
          <w:i/>
          <w:color w:val="5D6470"/>
          <w:sz w:val="16"/>
        </w:rPr>
        <w:t>Figure 4 - Défense en profondeur</w:t>
      </w:r>
    </w:p>
    <w:p>
      <w:pPr>
        <w:pStyle w:val="Heading2"/>
        <w:keepNext/>
      </w:pPr>
      <w:r>
        <w:t>8.1 Authentification et 2FA</w:t>
      </w:r>
    </w:p>
    <w:p>
      <w:pPr>
        <w:pStyle w:val="ListBullet"/>
        <w:keepLines/>
        <w:spacing w:after="60"/>
      </w:pPr>
      <w:r>
        <w:t>Keycloak comme fournisseur d’identité central, via OpenID Connect et OAuth 2.0.</w:t>
      </w:r>
    </w:p>
    <w:p>
      <w:pPr>
        <w:pStyle w:val="ListBullet"/>
        <w:keepLines/>
        <w:spacing w:after="60"/>
      </w:pPr>
      <w:r>
        <w:t>TOTP obligatoire pour les profils sensibles ; WebAuthn/passkeys recommandé pour les administrateurs et validateurs critiques.</w:t>
      </w:r>
    </w:p>
    <w:p>
      <w:pPr>
        <w:pStyle w:val="ListBullet"/>
        <w:keepLines/>
        <w:spacing w:after="60"/>
      </w:pPr>
      <w:r>
        <w:t>Step-up d’authentification avant confirmation de paiement, émission/correction de reçu, export sensible, modification de barème et gestion des habilitations.</w:t>
      </w:r>
    </w:p>
    <w:p>
      <w:pPr>
        <w:pStyle w:val="ListBullet"/>
        <w:keepLines/>
        <w:spacing w:after="60"/>
      </w:pPr>
      <w:r>
        <w:t>Sessions courtes pour les profils privilégiés, révocation centralisée et détection des connexions anormales.</w:t>
      </w:r>
    </w:p>
    <w:p>
      <w:pPr>
        <w:pStyle w:val="ListBullet"/>
        <w:keepLines/>
        <w:spacing w:after="60"/>
      </w:pPr>
      <w:r>
        <w:t>Récupération de compte avec contrôles renforcés et aucun envoi de secret durable par SMS ou e-mail.</w:t>
      </w:r>
    </w:p>
    <w:p>
      <w:pPr>
        <w:pStyle w:val="Heading2"/>
        <w:keepNext/>
      </w:pPr>
      <w:r>
        <w:t>8.2 Rôles et risques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blHeader w:val="true"/>
        </w:trPr>
        <w:tc>
          <w:tcPr>
            <w:tcW w:type="dxa" w:w="204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Code</w:t>
            </w:r>
          </w:p>
        </w:tc>
        <w:tc>
          <w:tcPr>
            <w:tcW w:type="dxa" w:w="215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Rôle</w:t>
            </w:r>
          </w:p>
        </w:tc>
        <w:tc>
          <w:tcPr>
            <w:tcW w:type="dxa" w:w="79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2FA</w:t>
            </w:r>
          </w:p>
        </w:tc>
        <w:tc>
          <w:tcPr>
            <w:tcW w:type="dxa" w:w="102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Risque</w:t>
            </w:r>
          </w:p>
        </w:tc>
        <w:tc>
          <w:tcPr>
            <w:tcW w:type="dxa" w:w="317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Description</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SUPER_ADMIN_TECH</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Superadministrateur technique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Exploitation de la plateforme, sans droits métier implicites.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ADMIN_FONCTIONNEL</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Administrateur fonctionnel CNPM</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Paramétrage fonctionnel, référentiels et administration métier.</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SECRETAIRE_GENERAL</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Secrétaire général</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Supervision institutionnelle et validations stratégiques.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DIRECTION_GENERALE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Direction générale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Pilotage global, décisions et consultation décisionnelle.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DIRECTION_FINANCIERE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Direction financière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Supervision des cotisations, paiements, rapprochements et primes.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COMPTABLE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Comptable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Traitements comptables, rapprochement et confirmation financière.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CAISSIER</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Caissier</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Enregistrement des encaissements et pièces de caisse.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AGENT_RECOUVREMENT</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Agent de recouvrement</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Campagnes, relances, promesses de paiement et suivi terrain.</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VALIDATEUR_ENROLEMENT</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Validateur des enrôlements</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Contrôle KYC et décision d’activation des adhésions.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RESPONSABLE_GROUPEMENT</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Responsable de groupement</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Pilotage des membres et activités de son groupement.</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REFERENT_GROUPEMENT</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Référent de groupement</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Enrôlement assisté et suivi opérationnel de son périmètre.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AUDITEUR_INTERNE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Auditeur interne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Consultation des journaux, états, preuves et contrôles.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AUDITEUR_EXTERNE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Auditeur externe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Accès temporaire, en lecture seule, aux périmètres mandatés.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JURIDIQUE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Service juridique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Réclamations, contentieux, contrats et conformité.</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COMMUNICATION</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Service communication</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Campagnes institutionnelles et contenus non financiers.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MEMBRE_ADMIN</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Administrateur de l’entreprise membre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Administration du compte entreprise et de ses utilisateurs.</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MEMBRE_UTILISATEUR</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Utilisateur de l’entreprise membre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Non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Consultation et opérations déléguées par son entreprise.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SUPPORT</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Support fonctionnel</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Assistance et consultation limitée, sans validation financière.</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PRESTATAIRE_TECH</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Prestataire technique</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Maintenance contrôlée et accès temporaire tracé.</w:t>
            </w:r>
          </w:p>
        </w:tc>
      </w:tr>
      <w:tr>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ADMIN_SECURITE</w:t>
            </w:r>
          </w:p>
        </w:tc>
        <w:tc>
          <w:tcPr>
            <w:tcW w:type="dxa" w:w="215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Administrateur sécurité</w:t>
            </w:r>
          </w:p>
        </w:tc>
        <w:tc>
          <w:tcPr>
            <w:tcW w:type="dxa" w:w="79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Oui</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317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Politiques d’accès, 2FA, revues et incidents de sécurité.</w:t>
            </w:r>
          </w:p>
        </w:tc>
      </w:tr>
    </w:tbl>
    <w:p>
      <w:pPr>
        <w:spacing w:after="0"/>
        <w:keepLines/>
      </w:pPr>
    </w:p>
    <w:p>
      <w:pPr>
        <w:pStyle w:val="Heading2"/>
        <w:keepNext/>
      </w:pPr>
      <w:r>
        <w:t>8.3 Séparation des tâches</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blHeader w:val="true"/>
        </w:trPr>
        <w:tc>
          <w:tcPr>
            <w:tcW w:type="dxa" w:w="73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ID</w:t>
            </w:r>
          </w:p>
        </w:tc>
        <w:tc>
          <w:tcPr>
            <w:tcW w:type="dxa" w:w="141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Processus</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Permission A</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Permission B</w:t>
            </w:r>
          </w:p>
        </w:tc>
        <w:tc>
          <w:tcPr>
            <w:tcW w:type="dxa" w:w="294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Règle</w:t>
            </w:r>
          </w:p>
        </w:tc>
        <w:tc>
          <w:tcPr>
            <w:tcW w:type="dxa" w:w="96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Contrôle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SOD-001</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Barème financier</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CONTRIBUTION.RULE.WRITE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CONTRIBUTION.RULE.APPROVE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Le créateur d’un barème ne peut pas le publier.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SOD-002</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Paramètre sensible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ADMIN.PARAMETER.WRITE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ADMIN.REFERENTIAL.APPROVE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Toute modification sensible exige un second valideur.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SOD-003</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Paiement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PAYMENT.RECORD</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PAYMENT.CONFIRM</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L’enregistreur d’un paiement ne doit pas être son confirmateur, sauf procédure d’urgence approuvée.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SOD-004</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Rapprochement exceptionnel</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RECONCILIATION.OVERRIDE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RECONCILIATION.APPROVE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L’auteur d’une dérogation ne peut pas la valider.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SOD-005</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Reçu</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RECEIPT.ISSUE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RECEIPT.CANCEL</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L’annulation d’un reçu exige un acteur distinct ou une validation hiérarchique.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Alerte et validation</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SOD-006</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Prime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INCENTIVE.CALCULATE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INCENTIVE.APPROVE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Le calculateur d’une prime ne peut pas approuver le même état.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SOD-007</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Rôle sensible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IAM.ROLE.ASSIGN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IAM.ACCESS.REVIEW</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Une attribution de rôle privilégié doit être revue par un autre administrateur.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Bloquante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SOD-008</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Restauration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OPS.DEPLOY</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DATA.RESTORE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Une restauration de production requiert approbation hors bande et double contrôle.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Procédure</w:t>
            </w:r>
          </w:p>
        </w:tc>
      </w:tr>
    </w:tbl>
    <w:p>
      <w:pPr>
        <w:spacing w:after="0"/>
        <w:keepLines/>
      </w:pPr>
    </w:p>
    <w:p>
      <w:pPr>
        <w:pStyle w:val="Heading2"/>
        <w:keepNext/>
      </w:pPr>
      <w:r>
        <w:t>8.4 Protection des données et journaux</w:t>
      </w:r>
    </w:p>
    <w:p>
      <w:pPr>
        <w:pStyle w:val="ListBullet"/>
        <w:keepLines/>
        <w:spacing w:after="60"/>
      </w:pPr>
      <w:r>
        <w:t>TLS pour tous les flux ; chiffrement des sauvegardes et des objets documentaires.</w:t>
      </w:r>
    </w:p>
    <w:p>
      <w:pPr>
        <w:pStyle w:val="ListBullet"/>
        <w:keepLines/>
        <w:spacing w:after="60"/>
      </w:pPr>
      <w:r>
        <w:t>Secrets dans un coffre dédié, rotation et accès par identité de charge de travail.</w:t>
      </w:r>
    </w:p>
    <w:p>
      <w:pPr>
        <w:pStyle w:val="ListBullet"/>
        <w:keepLines/>
        <w:spacing w:after="60"/>
      </w:pPr>
      <w:r>
        <w:t>Masquage des PII dans les logs, environnements non productifs et exports.</w:t>
      </w:r>
    </w:p>
    <w:p>
      <w:pPr>
        <w:pStyle w:val="ListBullet"/>
        <w:keepLines/>
        <w:spacing w:after="60"/>
      </w:pPr>
      <w:r>
        <w:t>Journal d’audit append-only avec acteur, rôle, périmètre, action, objet, résultat, adresse IP, corrélation et empreinte utile.</w:t>
      </w:r>
    </w:p>
    <w:p>
      <w:pPr>
        <w:pStyle w:val="ListBullet"/>
        <w:keepLines/>
        <w:spacing w:after="60"/>
      </w:pPr>
      <w:r>
        <w:t>Journal de sécurité distinct pour authentification, 2FA, élévation, refus, anomalies et accès privilégiés.</w:t>
      </w:r>
    </w:p>
    <w:p>
      <w:pPr>
        <w:pStyle w:val="ListBullet"/>
        <w:keepLines/>
        <w:spacing w:after="60"/>
      </w:pPr>
      <w:r>
        <w:t>Alertes sur doublons de paiement, échecs de signature, exports massifs, changements de rôle et contournements SoD.</w:t>
      </w:r>
    </w:p>
    <w:p>
      <w:pPr>
        <w:pStyle w:val="Heading2"/>
        <w:keepNext/>
      </w:pPr>
      <w:r>
        <w:t>8.5 Menaces prioritaires et contrôles</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83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Menace</w:t>
            </w:r>
          </w:p>
        </w:tc>
        <w:tc>
          <w:tcPr>
            <w:tcW w:type="dxa" w:w="635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Contrôles de maîtrise</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Usurpation de compte</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2FA, WebAuthn, anti-bruteforce, détection d’anomalie, révocation.</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Double paiement ou double reçu</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Idempotence, contraintes uniques, transaction, outbox et test de concurrence.</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Altération d’un encaissement</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Append-only, séparation des tâches, audit et correction compensatoire.</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Webhook frauduleux</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Signature, horodatage, allowlist, anti-rejeu et vérification partenaire.</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Fuite de données membres</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RBAC/ABAC, chiffrement, minimisation, contrôle d’export et journalisation.</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Malware documentaire</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Analyse antivirus, type MIME, quarantaine et URL temporaires.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Compromission de la chaîne CI/CD</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Branches protégées, SAST/SCA, secret scanning, SBOM, signatures et approbations.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Indisponibilité</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Redondance, quotas, sauvegardes, PRA, files asynchrones et modes dégradés contrôlés.</w:t>
            </w:r>
          </w:p>
        </w:tc>
      </w:tr>
    </w:tbl>
    <w:p>
      <w:pPr>
        <w:spacing w:after="0"/>
        <w:keepLines/>
      </w:pPr>
    </w:p>
    <w:p>
      <w:pPr>
        <w:pStyle w:val="Heading1"/>
        <w:pageBreakBefore/>
        <w:pBdr>
          <w:bottom w:val="single" w:sz="8" w:space="4" w:color="E30613"/>
        </w:pBdr>
        <w:keepNext/>
      </w:pPr>
      <w:r>
        <w:t>9. Processus métier et machines d’état</w:t>
      </w:r>
    </w:p>
    <w:p>
      <w:pPr>
        <w:keepLines/>
      </w:pPr>
      <w:r>
        <w:t>Les processus longs, multi-acteurs et soumis à délai sont modélisés en BPMN. Les règles de décision paramétrables peuvent être portées en DMN lorsque leur gouvernance et leur besoin de versionnement le justifient. L’état métier reste dans PostgreSQL ; le moteur de workflow orchestre et ne remplace pas la source de vérité.</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26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Processus</w:t>
            </w:r>
          </w:p>
        </w:tc>
        <w:tc>
          <w:tcPr>
            <w:tcW w:type="dxa" w:w="691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Étapes principales</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Enrôlement</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Création, pièces, contrôle, demande de complément, validation ou rejet, activation.</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Campagne de cotisation</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Calcul, contrôle, publication, échéancier, notification et suivi.</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Paiement Mobile Money</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Initiation, callback, vérification, rapprochement, confirmation et reçu.</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Virement bancaire</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Référence, import relevé, matching, anomalie, validation et reçu.</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Correction de reçu</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Demande motivée, approbation, document compensatoire et réémission.</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Recouvrement</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Segmentation, relance, interaction, promesse, escalade et clôture.</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Prime</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Calcul, contrôle, commission, contestation, validation et règlement.</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Requête membre</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Soumission, accusé, affectation, SLA, échanges, résolution et satisfaction.</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Réversibilité</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Gel, export, contrôle, transfert, suppression contrôlée et attestation.</w:t>
            </w:r>
          </w:p>
        </w:tc>
      </w:tr>
      <w:tr>
        <w:tc>
          <w:tcPr>
            <w:tcW w:type="dxa" w:w="226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Incident sécurité</w:t>
            </w:r>
          </w:p>
        </w:tc>
        <w:tc>
          <w:tcPr>
            <w:tcW w:type="dxa" w:w="69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Détection, qualification, confinement, remédiation, notification et retour d’expérience.</w:t>
            </w:r>
          </w:p>
        </w:tc>
      </w:tr>
    </w:tbl>
    <w:p>
      <w:pPr>
        <w:spacing w:after="0"/>
        <w:keepLines/>
      </w:pPr>
    </w:p>
    <w:p>
      <w:pPr>
        <w:pStyle w:val="Heading2"/>
        <w:keepNext/>
      </w:pPr>
      <w:r>
        <w:t>9.1 États financiers principaux</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192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Objet</w:t>
            </w:r>
          </w:p>
        </w:tc>
        <w:tc>
          <w:tcPr>
            <w:tcW w:type="dxa" w:w="351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États indicatifs</w:t>
            </w:r>
          </w:p>
        </w:tc>
        <w:tc>
          <w:tcPr>
            <w:tcW w:type="dxa" w:w="374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Transitions contrôlées</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Appel de cotisation</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BROUILLON, CALCULÉ, VALIDÉ, PUBLIÉ, PARTIEL, SOLDÉ, ANNULÉ</w:t>
            </w:r>
          </w:p>
        </w:tc>
        <w:tc>
          <w:tcPr>
            <w:tcW w:type="dxa" w:w="374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Publication et annulation soumises à permission ; solde dérivé des allocations.</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Transaction de paiement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INITIÉE, EN_ATTENTE, REÇUE, RAPPROCHÉE, CONFIRMÉE, ÉCHOUÉE, LITIGE</w:t>
            </w:r>
          </w:p>
        </w:tc>
        <w:tc>
          <w:tcPr>
            <w:tcW w:type="dxa" w:w="374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Transitions idempotentes ; confirmation distincte du rapprochement.</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Rapprochement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PROPOSÉ, À_REVOIR, VALIDÉ, REJETÉ</w:t>
            </w:r>
          </w:p>
        </w:tc>
        <w:tc>
          <w:tcPr>
            <w:tcW w:type="dxa" w:w="374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Confiance calculée, justification et double contrôle pour les exceptions.</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Reçu</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GÉNÉRÉ, ÉMIS, ANNULÉ, REMPLACÉ</w:t>
            </w:r>
          </w:p>
        </w:tc>
        <w:tc>
          <w:tcPr>
            <w:tcW w:type="dxa" w:w="374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Émission après confirmation ; annulation par trace compensatoire.</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Promesse de paiement</w:t>
            </w:r>
          </w:p>
        </w:tc>
        <w:tc>
          <w:tcPr>
            <w:tcW w:type="dxa" w:w="351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OUVERTE, TENUE, PARTIELLE, ROMPUE, ANNULÉE</w:t>
            </w:r>
          </w:p>
        </w:tc>
        <w:tc>
          <w:tcPr>
            <w:tcW w:type="dxa" w:w="374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Évaluation automatique selon échéance et encaissements.</w:t>
            </w:r>
          </w:p>
        </w:tc>
      </w:tr>
    </w:tbl>
    <w:p>
      <w:pPr>
        <w:spacing w:after="0"/>
        <w:keepLines/>
      </w:pPr>
    </w:p>
    <w:p>
      <w:pPr>
        <w:pStyle w:val="Heading1"/>
        <w:pageBreakBefore/>
        <w:pBdr>
          <w:bottom w:val="single" w:sz="8" w:space="4" w:color="E30613"/>
        </w:pBdr>
        <w:keepNext/>
      </w:pPr>
      <w:r>
        <w:t>10. Expérience Web, mobile et faible connectivité</w:t>
      </w:r>
    </w:p>
    <w:p>
      <w:pPr>
        <w:keepLines/>
      </w:pPr>
      <w:r>
        <w:t>Le design est institutionnel, dense mais lisible. Les interfaces utilisent des surfaces blanches, une hiérarchie typographique nette, des espaces et des séparateurs fins. Les grandes cartes colorées, les dégradés décoratifs, les ombres lourdes et les fonds saturés sont interdits.</w:t>
      </w:r>
    </w:p>
    <w:p>
      <w:pPr>
        <w:pStyle w:val="Heading2"/>
        <w:keepNext/>
      </w:pPr>
      <w:r>
        <w:t>10.1 Principes du design system</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87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Élément</w:t>
            </w:r>
          </w:p>
        </w:tc>
        <w:tc>
          <w:tcPr>
            <w:tcW w:type="dxa" w:w="7313"/>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Règle</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Palette</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Bleu CNPM pour navigation et titres ; rouge pour identité, critique et destruction ; neutres pour le reste.</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Mise en page</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Grille cohérente, marges généreuses, lignes fines et densité adaptée aux écrans de gestion.</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Tableaux</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En-tête blanc, texte bleu en semi-gras, ligne inférieure, tri/filtres explicites et colonnes prioritaires.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Indicateurs</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Nombre, petite barre ou pictogramme ; aucune mosaïque de tuiles saturées.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Formulaires</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Libellés persistants, aide concise, erreurs contextuelles, prévention des doubles soumissions.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Accessibilité</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WCAG 2.2 AA, clavier, focus visible, lecteurs d’écran, contrastes et absence de dépendance à la couleur.</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Responsive</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Desktop, tablette et mobile avec priorisation des tâches, pas simple réduction de l’écran.</w:t>
            </w:r>
          </w:p>
        </w:tc>
      </w:tr>
    </w:tbl>
    <w:p>
      <w:pPr>
        <w:spacing w:after="0"/>
        <w:keepLines/>
      </w:pPr>
    </w:p>
    <w:p>
      <w:pPr>
        <w:pStyle w:val="Heading2"/>
        <w:keepNext/>
      </w:pPr>
      <w:r>
        <w:t>10.2 Inventaire des écrans</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92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Espace</w:t>
            </w:r>
          </w:p>
        </w:tc>
        <w:tc>
          <w:tcPr>
            <w:tcW w:type="dxa" w:w="725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Écrans minimum</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Public / accès</w:t>
            </w:r>
          </w:p>
        </w:tc>
        <w:tc>
          <w:tcPr>
            <w:tcW w:type="dxa" w:w="72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Connexion, 2FA, récupération, activation, confidentialité, vérification QR d’un reçu.</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Portail membre</w:t>
            </w:r>
          </w:p>
        </w:tc>
        <w:tc>
          <w:tcPr>
            <w:tcW w:type="dxa" w:w="72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Accueil, profil entreprise, contacts, documents, cotisations, échéancier, paiement, historique, reçus, requêtes, notifications, événements, utilisateurs, préférences.</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Back-office</w:t>
            </w:r>
          </w:p>
        </w:tc>
        <w:tc>
          <w:tcPr>
            <w:tcW w:type="dxa" w:w="72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Tableau de bord, membres, prospects, enrôlements, cotisations, paiements, rapprochements, reçus, recouvrement, groupements, primes, requêtes, GED, gouvernance, événements, reporting, audit, sécurité, administration.</w:t>
            </w:r>
          </w:p>
        </w:tc>
      </w:tr>
      <w:tr>
        <w:tc>
          <w:tcPr>
            <w:tcW w:type="dxa" w:w="192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Mobile agents</w:t>
            </w:r>
          </w:p>
        </w:tc>
        <w:tc>
          <w:tcPr>
            <w:tcW w:type="dxa" w:w="72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Connexion, synchronisation, recherche membre, fiche 360°, enrôlement assisté, capture de pièces, action de recouvrement, promesse, notification, file hors ligne.</w:t>
            </w:r>
          </w:p>
        </w:tc>
      </w:tr>
    </w:tbl>
    <w:p>
      <w:pPr>
        <w:spacing w:after="0"/>
        <w:keepLines/>
      </w:pPr>
    </w:p>
    <w:p>
      <w:pPr>
        <w:pStyle w:val="Heading2"/>
        <w:keepNext/>
      </w:pPr>
      <w:r>
        <w:t>10.3 Mode faible connectivité</w:t>
      </w:r>
    </w:p>
    <w:p>
      <w:pPr>
        <w:pStyle w:val="ListBullet"/>
        <w:keepLines/>
        <w:spacing w:after="60"/>
      </w:pPr>
      <w:r>
        <w:t>Cache local chiffré et limité aux données nécessaires au portefeuille de l’utilisateur.</w:t>
      </w:r>
    </w:p>
    <w:p>
      <w:pPr>
        <w:pStyle w:val="ListBullet"/>
        <w:keepLines/>
        <w:spacing w:after="60"/>
      </w:pPr>
      <w:r>
        <w:t>Files d’actions locales avec identifiant client, horodatage et statut de synchronisation.</w:t>
      </w:r>
    </w:p>
    <w:p>
      <w:pPr>
        <w:pStyle w:val="ListBullet"/>
        <w:keepLines/>
        <w:spacing w:after="60"/>
      </w:pPr>
      <w:r>
        <w:t>Capture compressée des pièces et reprise interrompue.</w:t>
      </w:r>
    </w:p>
    <w:p>
      <w:pPr>
        <w:pStyle w:val="ListBullet"/>
        <w:keepLines/>
        <w:spacing w:after="60"/>
      </w:pPr>
      <w:r>
        <w:t>Résolution explicite des conflits de version ; aucune écriture silencieusement écrasée.</w:t>
      </w:r>
    </w:p>
    <w:p>
      <w:pPr>
        <w:pStyle w:val="ListBullet"/>
        <w:keepLines/>
        <w:spacing w:after="60"/>
      </w:pPr>
      <w:r>
        <w:t>Aucune confirmation de paiement, émission de reçu ou modification de barème hors ligne.</w:t>
      </w:r>
    </w:p>
    <w:p>
      <w:pPr>
        <w:pStyle w:val="ListBullet"/>
        <w:keepLines/>
        <w:spacing w:after="60"/>
      </w:pPr>
      <w:r>
        <w:t>Affichage permanent de l’état de connexion, de la dernière synchronisation et des éléments en attente.</w:t>
      </w:r>
    </w:p>
    <w:p>
      <w:pPr>
        <w:pStyle w:val="Heading1"/>
        <w:pageBreakBefore/>
        <w:pBdr>
          <w:bottom w:val="single" w:sz="8" w:space="4" w:color="E30613"/>
        </w:pBdr>
        <w:keepNext/>
      </w:pPr>
      <w:r>
        <w:t>11. Décisionnel, rapports et alertes</w:t>
      </w:r>
    </w:p>
    <w:p>
      <w:pPr>
        <w:keepLines/>
      </w:pPr>
      <w:r>
        <w:t>Le décisionnel comporte deux niveaux : tableaux opérationnels intégrés dans l’application, alimentés en quasi-temps réel, et analyses avancées sur une réplique ou un read model afin de ne pas dégrader les transactions. Les définitions de KPI sont gouvernées, versionnées et rattachées à un propriétaire métier.</w:t>
      </w:r>
    </w:p>
    <w:p>
      <w:pPr>
        <w:pStyle w:val="Heading2"/>
        <w:keepNext/>
      </w:pPr>
      <w:r>
        <w:t>11.1 Catalogue initial de KPI</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blHeader w:val="true"/>
        </w:trPr>
        <w:tc>
          <w:tcPr>
            <w:tcW w:type="dxa" w:w="85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ID</w:t>
            </w:r>
          </w:p>
        </w:tc>
        <w:tc>
          <w:tcPr>
            <w:tcW w:type="dxa" w:w="187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Indicateur</w:t>
            </w:r>
          </w:p>
        </w:tc>
        <w:tc>
          <w:tcPr>
            <w:tcW w:type="dxa" w:w="306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Définition</w:t>
            </w:r>
          </w:p>
        </w:tc>
        <w:tc>
          <w:tcPr>
            <w:tcW w:type="dxa" w:w="85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Unité</w:t>
            </w:r>
          </w:p>
        </w:tc>
        <w:tc>
          <w:tcPr>
            <w:tcW w:type="dxa" w:w="130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Fréquence</w:t>
            </w:r>
          </w:p>
        </w:tc>
        <w:tc>
          <w:tcPr>
            <w:tcW w:type="dxa" w:w="124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Propriétaire</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FIN-001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Encaissements confirmés</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Somme des paiements confirmés sur la période.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XOF</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Temps réel + clôture quotidienne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Direction financière</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FIN-002</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Taux de recouvrement</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Encaissements confirmés / cotisations exigibles.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Quotidien</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Direction financière</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FIN-003</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Délai moyen d’encaissement</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Moyenne entre émission et paiement confirmé.</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Jours</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Mensuel</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Direction financière</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Membres actifs</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Nombre d’adhésions actives.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Nombre</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Temps réel</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Secrétariat général</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MEM-002</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Taux de réactivation</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Dormants réactivés / dormants ciblés.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Campagne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Recouvrement</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ENR-001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Taux de conversion prospects</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Adhésions activées / prospects contactés.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Hebdomadaire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Direction</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OPS-001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Délai médian de traitement requête</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Médiane soumission-clôture hors pauses SLA.</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Heures</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Hebdomadaire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Services membres</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SEC-001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Comptes sensibles avec 2FA</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Comptes sensibles conformes / comptes sensibles actifs.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Quotidien</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RSSI</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Taux de rapprochement automatique</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Paiements rapprochés sans intervention / paiements reçus.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Quotidien</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Comptabilité</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PAY-002</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Anomalies de paiement ouvertes</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Nombre d’anomalies non résolues par âge.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Nombre</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Temps réel</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Comptabilité</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Reçus émis dans le SLA</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Reçus émis dans le délai cible après confirmation.</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Quotidien</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Finance</w:t>
            </w:r>
          </w:p>
        </w:tc>
      </w:tr>
      <w:tr>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REL-001</w:t>
            </w:r>
          </w:p>
        </w:tc>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Promesses honorées</w:t>
            </w:r>
          </w:p>
        </w:tc>
        <w:tc>
          <w:tcPr>
            <w:tcW w:type="dxa" w:w="30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Promesses honorées / promesses arrivées à échéance.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w:t>
            </w:r>
          </w:p>
        </w:tc>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Hebdomadaire</w:t>
            </w:r>
          </w:p>
        </w:tc>
        <w:tc>
          <w:tcPr>
            <w:tcW w:type="dxa" w:w="124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Recouvrement</w:t>
            </w:r>
          </w:p>
        </w:tc>
      </w:tr>
    </w:tbl>
    <w:p>
      <w:pPr>
        <w:spacing w:after="0"/>
        <w:keepLines/>
      </w:pPr>
    </w:p>
    <w:p>
      <w:pPr>
        <w:pStyle w:val="Heading2"/>
        <w:keepNext/>
      </w:pPr>
      <w:r>
        <w:t>11.2 Tableaux de bord</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98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Audience</w:t>
            </w:r>
          </w:p>
        </w:tc>
        <w:tc>
          <w:tcPr>
            <w:tcW w:type="dxa" w:w="720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Contenu</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Direction générale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Encaissements, taux de recouvrement, concentration, prévisions, nouveaux membres, risques et objectifs.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Finance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Appels, encaissements, rapprochement, anomalies, reçus, trésorerie et clôtures.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Recouvrement</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Portefeuille, relances, promesses, ancienneté, taux de contact et performance agent/groupement.</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Membres</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Base active/dormante/prospect, complétude, adhésions, réactivation et churn.</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Groupements</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Enrôlement, cotisations, relances et contribution par secteur.</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Audit / sécurité</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Accès, échecs 2FA, changements d’habilitation, exports, événements critiques et couverture des revues.</w:t>
            </w:r>
          </w:p>
        </w:tc>
      </w:tr>
    </w:tbl>
    <w:p>
      <w:pPr>
        <w:spacing w:after="0"/>
        <w:keepLines/>
      </w:pPr>
    </w:p>
    <w:p>
      <w:pPr>
        <w:pStyle w:val="Heading2"/>
        <w:keepNext/>
      </w:pPr>
      <w:r>
        <w:t>11.3 Exports et certification</w:t>
      </w:r>
    </w:p>
    <w:p>
      <w:pPr>
        <w:pStyle w:val="ListBullet"/>
        <w:keepLines/>
        <w:spacing w:after="60"/>
      </w:pPr>
      <w:r>
        <w:t>PDF officiel avec identité CNPM, période, filtres, date de génération et empreinte.</w:t>
      </w:r>
    </w:p>
    <w:p>
      <w:pPr>
        <w:pStyle w:val="ListBullet"/>
        <w:keepLines/>
        <w:spacing w:after="60"/>
      </w:pPr>
      <w:r>
        <w:t>Excel structuré avec colonnes typées, filtres, totaux, dictionnaire et limites de volume.</w:t>
      </w:r>
    </w:p>
    <w:p>
      <w:pPr>
        <w:pStyle w:val="ListBullet"/>
        <w:keepLines/>
        <w:spacing w:after="60"/>
      </w:pPr>
      <w:r>
        <w:t>Exports volumineux asynchrones, chiffrés si nécessaire et expirant automatiquement.</w:t>
      </w:r>
    </w:p>
    <w:p>
      <w:pPr>
        <w:pStyle w:val="ListBullet"/>
        <w:keepLines/>
        <w:spacing w:after="60"/>
      </w:pPr>
      <w:r>
        <w:t>Contrôle d’habilitation, justification des exports sensibles et journal de téléchargement.</w:t>
      </w:r>
    </w:p>
    <w:p>
      <w:pPr>
        <w:pStyle w:val="ListBullet"/>
        <w:keepLines/>
        <w:spacing w:after="60"/>
      </w:pPr>
      <w:r>
        <w:t>Réconciliation des agrégats BI avec les totaux transactionnels à chaque clôture.</w:t>
      </w:r>
    </w:p>
    <w:p>
      <w:pPr>
        <w:pStyle w:val="Heading1"/>
        <w:pageBreakBefore/>
        <w:pBdr>
          <w:bottom w:val="single" w:sz="8" w:space="4" w:color="E30613"/>
        </w:pBdr>
        <w:keepNext/>
      </w:pPr>
      <w:r>
        <w:t>12. Gestion électronique des documents</w:t>
      </w:r>
    </w:p>
    <w:p>
      <w:pPr>
        <w:keepLines/>
      </w:pPr>
      <w:r>
        <w:t>La GED conserve les pièces d’enrôlement, documents statutaires, reçus, attestations, justificatifs de paiement, pièces de requête et rapports officiels. Les métadonnées et droits résident dans PostgreSQL ; le binaire réside dans un stockage objet compatible S3.</w:t>
      </w:r>
    </w:p>
    <w:p>
      <w:pPr>
        <w:pStyle w:val="ListBullet"/>
        <w:keepLines/>
        <w:spacing w:after="60"/>
      </w:pPr>
      <w:r>
        <w:t>Téléversement par URL pré-signée à durée courte et contrôle d’intégrité.</w:t>
      </w:r>
    </w:p>
    <w:p>
      <w:pPr>
        <w:pStyle w:val="ListBullet"/>
        <w:keepLines/>
        <w:spacing w:after="60"/>
      </w:pPr>
      <w:r>
        <w:t>Analyse antivirus avant mise à disposition ; quarantaine en cas de suspicion.</w:t>
      </w:r>
    </w:p>
    <w:p>
      <w:pPr>
        <w:pStyle w:val="ListBullet"/>
        <w:keepLines/>
        <w:spacing w:after="60"/>
      </w:pPr>
      <w:r>
        <w:t>Validation du type MIME, taille, extension et nombre de fichiers.</w:t>
      </w:r>
    </w:p>
    <w:p>
      <w:pPr>
        <w:pStyle w:val="ListBullet"/>
        <w:keepLines/>
        <w:spacing w:after="60"/>
      </w:pPr>
      <w:r>
        <w:t>Versionnement, empreinte SHA-256, auteur, date, source et objet métier lié.</w:t>
      </w:r>
    </w:p>
    <w:p>
      <w:pPr>
        <w:pStyle w:val="ListBullet"/>
        <w:keepLines/>
        <w:spacing w:after="60"/>
      </w:pPr>
      <w:r>
        <w:t>Chiffrement au repos et séparation des compartiments par environnement.</w:t>
      </w:r>
    </w:p>
    <w:p>
      <w:pPr>
        <w:pStyle w:val="ListBullet"/>
        <w:keepLines/>
        <w:spacing w:after="60"/>
      </w:pPr>
      <w:r>
        <w:t>Politiques de conservation et gel légal paramétrables.</w:t>
      </w:r>
    </w:p>
    <w:p>
      <w:pPr>
        <w:pStyle w:val="ListBullet"/>
        <w:keepLines/>
        <w:spacing w:after="60"/>
      </w:pPr>
      <w:r>
        <w:t>Prévisualisation uniquement pour les formats sûrs ; téléchargement contrôlé.</w:t>
      </w:r>
    </w:p>
    <w:p>
      <w:pPr>
        <w:pStyle w:val="ListBullet"/>
        <w:keepLines/>
        <w:spacing w:after="60"/>
      </w:pPr>
      <w:r>
        <w:t>Export complet avec métadonnées lors de la réversibilité.</w:t>
      </w:r>
    </w:p>
    <w:p>
      <w:pPr>
        <w:pStyle w:val="Heading1"/>
        <w:pageBreakBefore/>
        <w:pBdr>
          <w:bottom w:val="single" w:sz="8" w:space="4" w:color="E30613"/>
        </w:pBdr>
        <w:keepNext/>
      </w:pPr>
      <w:r>
        <w:t>13. DevSecOps, environnements et déploiement</w:t>
      </w:r>
    </w:p>
    <w:p>
      <w:pPr>
        <w:jc w:val="center"/>
        <w:keepLines/>
      </w:pPr>
      <w:r>
        <w:drawing>
          <wp:inline xmlns:a="http://schemas.openxmlformats.org/drawingml/2006/main" xmlns:pic="http://schemas.openxmlformats.org/drawingml/2006/picture">
            <wp:extent cx="5903999" cy="2179388"/>
            <wp:docPr id="6" name="Picture 6" title="Déploiement" descr="Architecture de déploiement Kubernetes, PostgreSQL, RabbitMQ, Valkey et stockage objet"/>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903999" cy="2179388"/>
                    </a:xfrm>
                    <a:prstGeom prst="rect"/>
                  </pic:spPr>
                </pic:pic>
              </a:graphicData>
            </a:graphic>
          </wp:inline>
        </w:drawing>
      </w:r>
    </w:p>
    <w:p>
      <w:pPr>
        <w:spacing w:before="60" w:after="160"/>
        <w:jc w:val="center"/>
        <w:keepLines/>
      </w:pPr>
      <w:r>
        <w:rPr>
          <w:rFonts w:ascii="Lato" w:hAnsi="Lato"/>
          <w:i/>
          <w:color w:val="5D6470"/>
          <w:sz w:val="16"/>
        </w:rPr>
        <w:t>Figure 5 - Déploiement de référence</w:t>
      </w:r>
    </w:p>
    <w:p>
      <w:pPr>
        <w:pStyle w:val="Heading2"/>
        <w:keepNext/>
      </w:pPr>
      <w:r>
        <w:t>13.1 Environnements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blHeader w:val="true"/>
        </w:trPr>
        <w:tc>
          <w:tcPr>
            <w:tcW w:type="dxa" w:w="130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Environnement</w:t>
            </w:r>
          </w:p>
        </w:tc>
        <w:tc>
          <w:tcPr>
            <w:tcW w:type="dxa" w:w="232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Finalité</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Données</w:t>
            </w:r>
          </w:p>
        </w:tc>
        <w:tc>
          <w:tcPr>
            <w:tcW w:type="dxa" w:w="204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Déploiement</w:t>
            </w:r>
          </w:p>
        </w:tc>
        <w:tc>
          <w:tcPr>
            <w:tcW w:type="dxa" w:w="181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5"/>
              </w:rPr>
              <w:t>Accès</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Local</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Développement individuel et tests rapides.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Synthétiques.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Docker Compose / outils locaux.</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Développeur.</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Développement</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Intégration continue des branches.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Synthétiques.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Automatique.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Équipe projet.</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Test</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Tests intégration, contractuels et E2E.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Synthétiques contrôlées.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Automatique.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QA et développeurs.</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Staging</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Validation technique proche production.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Anonymisées.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Pipeline approuvé.</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Équipe limitée.</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Préproduction</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Recette métier et répétition de mise en production.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Anonymisées ou jeu homologué.</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Approbation.</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Recette, DSI, sécurité.</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Production</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Service réel.</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Réelles.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Double approbation et fenêtre.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Comptes nominatifs.</w:t>
            </w:r>
          </w:p>
        </w:tc>
      </w:tr>
      <w:tr>
        <w:tc>
          <w:tcPr>
            <w:tcW w:type="dxa" w:w="130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PRA</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Reprise après sinistre.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Répliquées/sauvegardées.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Procédure documentée.</w:t>
            </w:r>
          </w:p>
        </w:tc>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5"/>
              </w:rPr>
              <w:t>Équipe de crise.</w:t>
            </w:r>
          </w:p>
        </w:tc>
      </w:tr>
    </w:tbl>
    <w:p>
      <w:pPr>
        <w:spacing w:after="0"/>
        <w:keepLines/>
      </w:pPr>
    </w:p>
    <w:p>
      <w:pPr>
        <w:pStyle w:val="Heading2"/>
        <w:keepNext/>
      </w:pPr>
      <w:r>
        <w:t>13.2 Pipeline CI/CD</w:t>
      </w:r>
    </w:p>
    <w:p>
      <w:pPr>
        <w:pStyle w:val="ListNumber"/>
        <w:spacing w:after="60"/>
        <w:keepLines/>
      </w:pPr>
      <w:r>
        <w:t>Contrôles de format, lint et compilation.</w:t>
      </w:r>
    </w:p>
    <w:p>
      <w:pPr>
        <w:pStyle w:val="ListNumber"/>
        <w:spacing w:after="60"/>
        <w:keepLines/>
      </w:pPr>
      <w:r>
        <w:t>Tests unitaires et couverture sur les règles critiques.</w:t>
      </w:r>
    </w:p>
    <w:p>
      <w:pPr>
        <w:pStyle w:val="ListNumber"/>
        <w:spacing w:after="60"/>
        <w:keepLines/>
      </w:pPr>
      <w:r>
        <w:t>Tests d’intégration avec PostgreSQL éphémère et migrations Flyway.</w:t>
      </w:r>
    </w:p>
    <w:p>
      <w:pPr>
        <w:pStyle w:val="ListNumber"/>
        <w:spacing w:after="60"/>
        <w:keepLines/>
      </w:pPr>
      <w:r>
        <w:t>Validation OpenAPI/AsyncAPI et tests contractuels.</w:t>
      </w:r>
    </w:p>
    <w:p>
      <w:pPr>
        <w:pStyle w:val="ListNumber"/>
        <w:spacing w:after="60"/>
        <w:keepLines/>
      </w:pPr>
      <w:r>
        <w:t>SAST, SCA, scan de secrets, licences et génération de SBOM.</w:t>
      </w:r>
    </w:p>
    <w:p>
      <w:pPr>
        <w:pStyle w:val="ListNumber"/>
        <w:spacing w:after="60"/>
        <w:keepLines/>
      </w:pPr>
      <w:r>
        <w:t>Construction d’images OCI signées et sans tag latest.</w:t>
      </w:r>
    </w:p>
    <w:p>
      <w:pPr>
        <w:pStyle w:val="ListNumber"/>
        <w:spacing w:after="60"/>
        <w:keepLines/>
      </w:pPr>
      <w:r>
        <w:t>Scan d’images et politique de vulnérabilité bloquante.</w:t>
      </w:r>
    </w:p>
    <w:p>
      <w:pPr>
        <w:pStyle w:val="ListNumber"/>
        <w:spacing w:after="60"/>
        <w:keepLines/>
      </w:pPr>
      <w:r>
        <w:t>Déploiement automatique hors production, smoke tests et tests E2E.</w:t>
      </w:r>
    </w:p>
    <w:p>
      <w:pPr>
        <w:pStyle w:val="ListNumber"/>
        <w:spacing w:after="60"/>
        <w:keepLines/>
      </w:pPr>
      <w:r>
        <w:t>DAST ciblé et contrôles de configuration.</w:t>
      </w:r>
    </w:p>
    <w:p>
      <w:pPr>
        <w:pStyle w:val="ListNumber"/>
        <w:spacing w:after="60"/>
        <w:keepLines/>
      </w:pPr>
      <w:r>
        <w:t>Approbation humaine, sauvegarde préalable et déploiement progressif en production.</w:t>
      </w:r>
    </w:p>
    <w:p>
      <w:pPr>
        <w:pStyle w:val="ListNumber"/>
        <w:spacing w:after="60"/>
        <w:keepLines/>
      </w:pPr>
      <w:r>
        <w:t>Vérification post-déploiement et procédure de retour opérationnel.</w:t>
      </w:r>
    </w:p>
    <w:p>
      <w:pPr>
        <w:pStyle w:val="Heading2"/>
        <w:keepNext/>
      </w:pPr>
      <w:r>
        <w:t>13.3 Infrastructure as Code</w:t>
      </w:r>
    </w:p>
    <w:p>
      <w:pPr>
        <w:pStyle w:val="ListBullet"/>
        <w:keepLines/>
        <w:spacing w:after="60"/>
      </w:pPr>
      <w:r>
        <w:t>Manifests Kubernetes/Helm ou Kustomize versionnés.</w:t>
      </w:r>
    </w:p>
    <w:p>
      <w:pPr>
        <w:pStyle w:val="ListBullet"/>
        <w:keepLines/>
        <w:spacing w:after="60"/>
      </w:pPr>
      <w:r>
        <w:t>Secrets référencés depuis un coffre, jamais stockés dans le dépôt.</w:t>
      </w:r>
    </w:p>
    <w:p>
      <w:pPr>
        <w:pStyle w:val="ListBullet"/>
        <w:keepLines/>
        <w:spacing w:after="60"/>
      </w:pPr>
      <w:r>
        <w:t>Quotas, limits, PodDisruptionBudget, probes et NetworkPolicies.</w:t>
      </w:r>
    </w:p>
    <w:p>
      <w:pPr>
        <w:pStyle w:val="ListBullet"/>
        <w:keepLines/>
        <w:spacing w:after="60"/>
      </w:pPr>
      <w:r>
        <w:t>Séparation des namespaces, comptes de service et rôles d’exploitation.</w:t>
      </w:r>
    </w:p>
    <w:p>
      <w:pPr>
        <w:pStyle w:val="ListBullet"/>
        <w:keepLines/>
        <w:spacing w:after="60"/>
      </w:pPr>
      <w:r>
        <w:t>Politiques de sauvegarde et monitoring déployées comme code.</w:t>
      </w:r>
    </w:p>
    <w:p>
      <w:pPr>
        <w:pStyle w:val="ListBullet"/>
        <w:keepLines/>
        <w:spacing w:after="60"/>
      </w:pPr>
      <w:r>
        <w:t>Inventaire des dépendances, images et licences maintenu dans la release.</w:t>
      </w:r>
    </w:p>
    <w:p>
      <w:pPr>
        <w:pStyle w:val="Heading1"/>
        <w:pageBreakBefore/>
        <w:pBdr>
          <w:bottom w:val="single" w:sz="8" w:space="4" w:color="E30613"/>
        </w:pBdr>
        <w:keepNext/>
      </w:pPr>
      <w:r>
        <w:t>14. Observabilité et exploitation</w:t>
      </w:r>
    </w:p>
    <w:p>
      <w:pPr>
        <w:keepLines/>
      </w:pPr>
      <w:r>
        <w:t>L’observabilité combine mesures techniques et événements métier. Chaque requête reçoit un correlationId propagé dans les logs, traces, messages et appels partenaires. Les alertes sont actionnables, rattachées à un runbook et calibrées pour éviter la fatigue opérationnelle.</w:t>
      </w:r>
    </w:p>
    <w:p>
      <w:pPr>
        <w:pStyle w:val="Heading2"/>
        <w:keepNext/>
      </w:pPr>
      <w:r>
        <w:t>14.1 Signaux obligatoires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141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Signal</w:t>
            </w:r>
          </w:p>
        </w:tc>
        <w:tc>
          <w:tcPr>
            <w:tcW w:type="dxa" w:w="4819"/>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Exemples</w:t>
            </w:r>
          </w:p>
        </w:tc>
        <w:tc>
          <w:tcPr>
            <w:tcW w:type="dxa" w:w="294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Outil cible</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Métriques</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Latence, taux d’erreur, saturation, files, connexions, réplication, jobs et KPI techniques.</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Prometheus / Grafana</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Logs</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Événements structurés JSON, corrélation, niveau, service, contexte sans secret ni PII excessive.</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Loki</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Traces</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Parcours API, SQL, messages, stockage et partenaires.</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OpenTelemetry / Tempo</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Audit métier</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Validation, confirmation, émission, modification de rôle, export et décision.</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PostgreSQL audit append-only</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Sécurité</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Échecs, 2FA, élévation, anomalies, malware et accès privilégiés.</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SIEM / alerting</w:t>
            </w:r>
          </w:p>
        </w:tc>
      </w:tr>
      <w:tr>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Expérience</w:t>
            </w:r>
          </w:p>
        </w:tc>
        <w:tc>
          <w:tcPr>
            <w:tcW w:type="dxa" w:w="481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Disponibilité, temps de chargement, erreurs front, synchronisation et taux d’abandon.</w:t>
            </w:r>
          </w:p>
        </w:tc>
        <w:tc>
          <w:tcPr>
            <w:tcW w:type="dxa" w:w="294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RUM / dashboards</w:t>
            </w:r>
          </w:p>
        </w:tc>
      </w:tr>
    </w:tbl>
    <w:p>
      <w:pPr>
        <w:spacing w:after="0"/>
        <w:keepLines/>
      </w:pPr>
    </w:p>
    <w:p>
      <w:pPr>
        <w:pStyle w:val="Heading2"/>
        <w:keepNext/>
      </w:pPr>
      <w:r>
        <w:t>14.2 Runbooks prioritaires</w:t>
      </w:r>
    </w:p>
    <w:p>
      <w:pPr>
        <w:pStyle w:val="ListBullet"/>
        <w:keepLines/>
        <w:spacing w:after="60"/>
      </w:pPr>
      <w:r>
        <w:t>Indisponibilité du portail ou de l’API.</w:t>
      </w:r>
    </w:p>
    <w:p>
      <w:pPr>
        <w:pStyle w:val="ListBullet"/>
        <w:keepLines/>
        <w:spacing w:after="60"/>
      </w:pPr>
      <w:r>
        <w:t>Saturation ou réplication PostgreSQL dégradée.</w:t>
      </w:r>
    </w:p>
    <w:p>
      <w:pPr>
        <w:pStyle w:val="ListBullet"/>
        <w:keepLines/>
        <w:spacing w:after="60"/>
      </w:pPr>
      <w:r>
        <w:t>File RabbitMQ en accumulation ou dead-letter queue.</w:t>
      </w:r>
    </w:p>
    <w:p>
      <w:pPr>
        <w:pStyle w:val="ListBullet"/>
        <w:keepLines/>
        <w:spacing w:after="60"/>
      </w:pPr>
      <w:r>
        <w:t>Callbacks Mobile Money absents ou incohérents.</w:t>
      </w:r>
    </w:p>
    <w:p>
      <w:pPr>
        <w:pStyle w:val="ListBullet"/>
        <w:keepLines/>
        <w:spacing w:after="60"/>
      </w:pPr>
      <w:r>
        <w:t>Import bancaire rejeté ou rapprochement bloqué.</w:t>
      </w:r>
    </w:p>
    <w:p>
      <w:pPr>
        <w:pStyle w:val="ListBullet"/>
        <w:keepLines/>
        <w:spacing w:after="60"/>
      </w:pPr>
      <w:r>
        <w:t>Échec de génération/signature des reçus.</w:t>
      </w:r>
    </w:p>
    <w:p>
      <w:pPr>
        <w:pStyle w:val="ListBullet"/>
        <w:keepLines/>
        <w:spacing w:after="60"/>
      </w:pPr>
      <w:r>
        <w:t>Stockage objet indisponible ou détection antivirus.</w:t>
      </w:r>
    </w:p>
    <w:p>
      <w:pPr>
        <w:pStyle w:val="ListBullet"/>
        <w:keepLines/>
        <w:spacing w:after="60"/>
      </w:pPr>
      <w:r>
        <w:t>Compromission de compte privilégié.</w:t>
      </w:r>
    </w:p>
    <w:p>
      <w:pPr>
        <w:pStyle w:val="ListBullet"/>
        <w:keepLines/>
        <w:spacing w:after="60"/>
      </w:pPr>
      <w:r>
        <w:t>Restauration à partir des sauvegardes et bascule PRA.</w:t>
      </w:r>
    </w:p>
    <w:p>
      <w:pPr>
        <w:pStyle w:val="Heading1"/>
        <w:pageBreakBefore/>
        <w:pBdr>
          <w:bottom w:val="single" w:sz="8" w:space="4" w:color="E30613"/>
        </w:pBdr>
        <w:keepNext/>
      </w:pPr>
      <w:r>
        <w:t>15. Stratégie de tests, recette et qualité</w:t>
      </w:r>
    </w:p>
    <w:p>
      <w:pPr>
        <w:keepLines/>
      </w:pPr>
      <w:r>
        <w:t>Le catalogue initial contient 361 cas de recette minimum : deux scénarios par exigence, un scénario critique supplémentaire pour les exigences financières, de sécurité, de données et d’intégration, ainsi qu’un scénario dédié pour chacune des 20 règles métier transversales. Il doit être enrichi pendant le raffinement par les variantes de données, les limites et les cas partenaires.</w:t>
      </w:r>
    </w:p>
    <w:p>
      <w:pPr>
        <w:pStyle w:val="Heading2"/>
        <w:keepNext/>
      </w:pPr>
      <w:r>
        <w:t>15.1 Pyramide de tests</w:t>
      </w:r>
    </w:p>
    <w:tbl>
      <w:tblPr>
        <w:tblW w:type="auto" w:w="0"/>
        <w:jc w:val="center"/>
        <w:tblLayout w:type="fixed"/>
        <w:tblLook w:firstColumn="1" w:firstRow="1" w:lastColumn="0" w:lastRow="0" w:noHBand="0" w:noVBand="1" w:val="04A0"/>
      </w:tblPr>
      <w:tblGrid>
        <w:gridCol w:w="3324"/>
        <w:gridCol w:w="3324"/>
        <w:gridCol w:w="3324"/>
      </w:tblGrid>
      <w:tr>
        <w:trPr>
          <w:tblHeader w:val="true"/>
          <w:tblHeader w:val="true"/>
        </w:trPr>
        <w:tc>
          <w:tcPr>
            <w:tcW w:type="dxa" w:w="136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Niveau</w:t>
            </w:r>
          </w:p>
        </w:tc>
        <w:tc>
          <w:tcPr>
            <w:tcW w:type="dxa" w:w="385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Objet</w:t>
            </w:r>
          </w:p>
        </w:tc>
        <w:tc>
          <w:tcPr>
            <w:tcW w:type="dxa" w:w="3969"/>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Exigence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Unitaire</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Règles de domaine, calculs, transitions et validation.</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Rapides, déterministes et sans dépendance externe.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Intégration</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PostgreSQL, Flyway, repositories, outbox, IAM et adaptateurs.</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Testcontainers ou environnement éphémère.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Contractuel</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OpenAPI, AsyncAPI et contrats partenaires.</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Validation fournisseur/consommateur.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E2E Web/mobile</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Parcours critiques et accessibilité.</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Jeux synthétiques, stabilité et preuves.</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Sécurité</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SAST, SCA, DAST, secrets, RBAC, SoD et pentest.</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Blocage des vulnérabilités critiques.</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Performance</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Charge, endurance, pics, volumétrie et dégradation.</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SLO mesurés et capacité documentée.</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Résilience</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Pannes partenaires, retry, files, bascule et restauration.</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Aucun double effet métier.</w:t>
            </w:r>
          </w:p>
        </w:tc>
      </w:tr>
      <w:tr>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Recette métier</w:t>
            </w:r>
          </w:p>
        </w:tc>
        <w:tc>
          <w:tcPr>
            <w:tcW w:type="dxa" w:w="385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Conformité aux critères d’acceptation et au TDR.</w:t>
            </w:r>
          </w:p>
        </w:tc>
        <w:tc>
          <w:tcPr>
            <w:tcW w:type="dxa" w:w="3969"/>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Visa CNPM et preuve archivée.</w:t>
            </w:r>
          </w:p>
        </w:tc>
      </w:tr>
    </w:tbl>
    <w:p>
      <w:pPr>
        <w:spacing w:after="0"/>
        <w:keepLines/>
      </w:pPr>
    </w:p>
    <w:p>
      <w:pPr>
        <w:pStyle w:val="Heading2"/>
        <w:keepNext/>
      </w:pPr>
      <w:r>
        <w:t>15.2 Scénarios critiques obligatoires</w:t>
      </w:r>
    </w:p>
    <w:p>
      <w:pPr>
        <w:pStyle w:val="ListBullet"/>
        <w:keepLines/>
        <w:spacing w:after="60"/>
      </w:pPr>
      <w:r>
        <w:t>Double callback et callback hors ordre.</w:t>
      </w:r>
    </w:p>
    <w:p>
      <w:pPr>
        <w:pStyle w:val="ListBullet"/>
        <w:keepLines/>
        <w:spacing w:after="60"/>
      </w:pPr>
      <w:r>
        <w:t>Deux tentatives concurrentes de confirmation du même paiement.</w:t>
      </w:r>
    </w:p>
    <w:p>
      <w:pPr>
        <w:pStyle w:val="ListBullet"/>
        <w:keepLines/>
        <w:spacing w:after="60"/>
      </w:pPr>
      <w:r>
        <w:t>Import du même relevé ou de la même ligne bancaire.</w:t>
      </w:r>
    </w:p>
    <w:p>
      <w:pPr>
        <w:pStyle w:val="ListBullet"/>
        <w:keepLines/>
        <w:spacing w:after="60"/>
      </w:pPr>
      <w:r>
        <w:t>Paiement partiel, groupé, excédentaire et sans référence.</w:t>
      </w:r>
    </w:p>
    <w:p>
      <w:pPr>
        <w:pStyle w:val="ListBullet"/>
        <w:keepLines/>
        <w:spacing w:after="60"/>
      </w:pPr>
      <w:r>
        <w:t>Annulation/correction d’un reçu sans suppression de preuve.</w:t>
      </w:r>
    </w:p>
    <w:p>
      <w:pPr>
        <w:pStyle w:val="ListBullet"/>
        <w:keepLines/>
        <w:spacing w:after="60"/>
      </w:pPr>
      <w:r>
        <w:t>Conflit de séparation des tâches et tentative de contournement.</w:t>
      </w:r>
    </w:p>
    <w:p>
      <w:pPr>
        <w:pStyle w:val="ListBullet"/>
        <w:keepLines/>
        <w:spacing w:after="60"/>
      </w:pPr>
      <w:r>
        <w:t>Perte de réseau mobile pendant une capture ou une synchronisation.</w:t>
      </w:r>
    </w:p>
    <w:p>
      <w:pPr>
        <w:pStyle w:val="ListBullet"/>
        <w:keepLines/>
        <w:spacing w:after="60"/>
      </w:pPr>
      <w:r>
        <w:t>Restauration PostgreSQL à un point choisi et rapprochement après reprise.</w:t>
      </w:r>
    </w:p>
    <w:p>
      <w:pPr>
        <w:pStyle w:val="ListBullet"/>
        <w:keepLines/>
        <w:spacing w:after="60"/>
      </w:pPr>
      <w:r>
        <w:t>Export massif par utilisateur non autorisé et par utilisateur autorisé avec justification.</w:t>
      </w:r>
    </w:p>
    <w:p>
      <w:pPr>
        <w:pStyle w:val="ListBullet"/>
        <w:keepLines/>
        <w:spacing w:after="60"/>
      </w:pPr>
      <w:r>
        <w:t>Défaillance d’un fournisseur SMS/e-mail sans blocage de la transaction principale.</w:t>
      </w:r>
    </w:p>
    <w:p>
      <w:pPr>
        <w:pStyle w:val="Heading2"/>
        <w:keepNext/>
      </w:pPr>
      <w:r>
        <w:t>15.3 Definition of Done</w:t>
      </w:r>
    </w:p>
    <w:p>
      <w:pPr>
        <w:pStyle w:val="ListBullet"/>
        <w:keepLines/>
        <w:spacing w:after="60"/>
      </w:pPr>
      <w:r>
        <w:t>Critères d’acceptation satisfaits et preuves rattachées à la story.</w:t>
      </w:r>
    </w:p>
    <w:p>
      <w:pPr>
        <w:pStyle w:val="ListBullet"/>
        <w:keepLines/>
        <w:spacing w:after="60"/>
      </w:pPr>
      <w:r>
        <w:t>Code compilé, lint propre, tests unitaires/intégration/contractuels réussis.</w:t>
      </w:r>
    </w:p>
    <w:p>
      <w:pPr>
        <w:pStyle w:val="ListBullet"/>
        <w:keepLines/>
        <w:spacing w:after="60"/>
      </w:pPr>
      <w:r>
        <w:t>Migration Flyway fournie et testée lorsque le schéma évolue.</w:t>
      </w:r>
    </w:p>
    <w:p>
      <w:pPr>
        <w:pStyle w:val="ListBullet"/>
        <w:keepLines/>
        <w:spacing w:after="60"/>
      </w:pPr>
      <w:r>
        <w:t>Permissions, audit, idempotence et erreurs contrôlés.</w:t>
      </w:r>
    </w:p>
    <w:p>
      <w:pPr>
        <w:pStyle w:val="ListBullet"/>
        <w:keepLines/>
        <w:spacing w:after="60"/>
      </w:pPr>
      <w:r>
        <w:t>Documentation API, données, architecture et exploitation mise à jour.</w:t>
      </w:r>
    </w:p>
    <w:p>
      <w:pPr>
        <w:pStyle w:val="ListBullet"/>
        <w:keepLines/>
        <w:spacing w:after="60"/>
      </w:pPr>
      <w:r>
        <w:t>Aucune vulnérabilité critique, aucun secret et aucune donnée réelle dans les tests.</w:t>
      </w:r>
    </w:p>
    <w:p>
      <w:pPr>
        <w:pStyle w:val="ListBullet"/>
        <w:keepLines/>
        <w:spacing w:after="60"/>
      </w:pPr>
      <w:r>
        <w:t>Revue de code et revue spécialisée lorsque le changement est financier, sécurité ou données.</w:t>
      </w:r>
    </w:p>
    <w:p>
      <w:pPr>
        <w:pStyle w:val="ListBullet"/>
        <w:keepLines/>
        <w:spacing w:after="60"/>
      </w:pPr>
      <w:r>
        <w:t>Traçabilité exigence-story-code-test actualisée.</w:t>
      </w:r>
    </w:p>
    <w:p>
      <w:pPr>
        <w:pStyle w:val="Heading1"/>
        <w:pageBreakBefore/>
        <w:pBdr>
          <w:bottom w:val="single" w:sz="8" w:space="4" w:color="E30613"/>
        </w:pBdr>
        <w:keepNext/>
      </w:pPr>
      <w:r>
        <w:t>16. Migration, PoC et trajectoire de déploiement</w:t>
      </w:r>
    </w:p>
    <w:p>
      <w:pPr>
        <w:pStyle w:val="Heading2"/>
        <w:keepNext/>
      </w:pPr>
      <w:r>
        <w:t>16.1 Migration des données</w:t>
      </w:r>
    </w:p>
    <w:p>
      <w:pPr>
        <w:pStyle w:val="ListNumber"/>
        <w:spacing w:after="60"/>
        <w:keepLines/>
      </w:pPr>
      <w:r>
        <w:t>Inventorier les fichiers, bases, champs, propriétaires et niveaux de qualité.</w:t>
      </w:r>
    </w:p>
    <w:p>
      <w:pPr>
        <w:pStyle w:val="ListNumber"/>
        <w:spacing w:after="60"/>
        <w:keepLines/>
      </w:pPr>
      <w:r>
        <w:t>Profiler NIF, RCCM, contacts, catégories, soldes, paiements et pièces.</w:t>
      </w:r>
    </w:p>
    <w:p>
      <w:pPr>
        <w:pStyle w:val="ListNumber"/>
        <w:spacing w:after="60"/>
        <w:keepLines/>
      </w:pPr>
      <w:r>
        <w:t>Définir mapping, règles de priorité, valeurs rejetées et traitement des doublons.</w:t>
      </w:r>
    </w:p>
    <w:p>
      <w:pPr>
        <w:pStyle w:val="ListNumber"/>
        <w:spacing w:after="60"/>
        <w:keepLines/>
      </w:pPr>
      <w:r>
        <w:t>Charger à blanc et produire un rapport de contrôle quantitatif et qualitatif.</w:t>
      </w:r>
    </w:p>
    <w:p>
      <w:pPr>
        <w:pStyle w:val="ListNumber"/>
        <w:spacing w:after="60"/>
        <w:keepLines/>
      </w:pPr>
      <w:r>
        <w:t>Rapprocher les soldes et encaissements avec les états validés du CNPM.</w:t>
      </w:r>
    </w:p>
    <w:p>
      <w:pPr>
        <w:pStyle w:val="ListNumber"/>
        <w:spacing w:after="60"/>
        <w:keepLines/>
      </w:pPr>
      <w:r>
        <w:t>Faire valider des échantillons par les métiers puis la totalité.</w:t>
      </w:r>
    </w:p>
    <w:p>
      <w:pPr>
        <w:pStyle w:val="ListNumber"/>
        <w:spacing w:after="60"/>
        <w:keepLines/>
      </w:pPr>
      <w:r>
        <w:t>Exécuter le gel, l’extraction finale, le delta, le chargement et le contrôle post-bascule.</w:t>
      </w:r>
    </w:p>
    <w:p>
      <w:pPr>
        <w:pStyle w:val="ListNumber"/>
        <w:spacing w:after="60"/>
        <w:keepLines/>
      </w:pPr>
      <w:r>
        <w:t>Conserver les sources et preuves conformément à la politique de rétention.</w:t>
      </w:r>
    </w:p>
    <w:p>
      <w:pPr>
        <w:pStyle w:val="Heading2"/>
        <w:keepNext/>
      </w:pPr>
      <w:r>
        <w:t>16.2 Phases de réalisation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blHeader w:val="true"/>
        </w:trPr>
        <w:tc>
          <w:tcPr>
            <w:tcW w:type="dxa" w:w="175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Release</w:t>
            </w:r>
          </w:p>
        </w:tc>
        <w:tc>
          <w:tcPr>
            <w:tcW w:type="dxa" w:w="198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Objectif</w:t>
            </w:r>
          </w:p>
        </w:tc>
        <w:tc>
          <w:tcPr>
            <w:tcW w:type="dxa" w:w="3402"/>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Contenu</w:t>
            </w:r>
          </w:p>
        </w:tc>
        <w:tc>
          <w:tcPr>
            <w:tcW w:type="dxa" w:w="204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6"/>
              </w:rPr>
              <w:t>Critère de sortie</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R0 - Fondations</w:t>
            </w:r>
          </w:p>
        </w:tc>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Socle sécurisé et exploitable.</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Architecture, PostgreSQL, IAM, audit, CI/CD, observabilité, design system.</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Environnements reproductibles, migrations, 2FA, audit et pipeline opérationnels.</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R1 - PoC bout en bout</w:t>
            </w:r>
          </w:p>
        </w:tc>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Démontrer enrôlement jusqu’au reçu.</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Membres, enrôlement, cotisations, paiements, rapprochement, reçus, recouvrement, KPI PoC.</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Chaîne complète, tests critiques, restauration et recette CNPM.</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R2 - Portail et extension</w:t>
            </w:r>
          </w:p>
        </w:tc>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Étendre l’usage et la base.</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Portail/mobile, requêtes, groupements, primes, GED et prospects.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Adoption mesurée, SLA, primes contrôlées et réversibilité testée.</w:t>
            </w:r>
          </w:p>
        </w:tc>
      </w:tr>
      <w:tr>
        <w:tc>
          <w:tcPr>
            <w:tcW w:type="dxa" w:w="175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R3 - Services premium</w:t>
            </w:r>
          </w:p>
        </w:tc>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Valoriser données et services.</w:t>
            </w:r>
          </w:p>
        </w:tc>
        <w:tc>
          <w:tcPr>
            <w:tcW w:type="dxa" w:w="3402"/>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Événements, gouvernance, prévisions, scoring et interopérabilité INPS.</w:t>
            </w:r>
          </w:p>
        </w:tc>
        <w:tc>
          <w:tcPr>
            <w:tcW w:type="dxa" w:w="204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6"/>
              </w:rPr>
              <w:t>KPI certifiés, performance et exploitation consolidées.</w:t>
            </w:r>
          </w:p>
        </w:tc>
      </w:tr>
    </w:tbl>
    <w:p>
      <w:pPr>
        <w:spacing w:after="0"/>
        <w:keepLines/>
      </w:pPr>
    </w:p>
    <w:p>
      <w:pPr>
        <w:pStyle w:val="Heading2"/>
        <w:keepNext/>
      </w:pPr>
      <w:r>
        <w:t>16.3 Périmètre minimal du PoC</w:t>
      </w:r>
    </w:p>
    <w:p>
      <w:pPr>
        <w:pStyle w:val="ListBullet"/>
        <w:keepLines/>
        <w:spacing w:after="60"/>
      </w:pPr>
      <w:r>
        <w:t>Échantillon représentatif de grands, moyens et petits cotisants, incluant actifs et dormants.</w:t>
      </w:r>
    </w:p>
    <w:p>
      <w:pPr>
        <w:pStyle w:val="ListBullet"/>
        <w:keepLines/>
        <w:spacing w:after="60"/>
      </w:pPr>
      <w:r>
        <w:t>Enrôlement réel, validation CNPM et activation.</w:t>
      </w:r>
    </w:p>
    <w:p>
      <w:pPr>
        <w:pStyle w:val="ListBullet"/>
        <w:keepLines/>
        <w:spacing w:after="60"/>
      </w:pPr>
      <w:r>
        <w:t>Génération ou import d’appel de cotisation et référence unique.</w:t>
      </w:r>
    </w:p>
    <w:p>
      <w:pPr>
        <w:pStyle w:val="ListBullet"/>
        <w:keepLines/>
        <w:spacing w:after="60"/>
      </w:pPr>
      <w:r>
        <w:t>Paiement par au moins un canal numérique et un virement bancaire.</w:t>
      </w:r>
    </w:p>
    <w:p>
      <w:pPr>
        <w:pStyle w:val="ListBullet"/>
        <w:keepLines/>
        <w:spacing w:after="60"/>
      </w:pPr>
      <w:r>
        <w:t>Rapprochement, confirmation CNPM et reçu officiel.</w:t>
      </w:r>
    </w:p>
    <w:p>
      <w:pPr>
        <w:pStyle w:val="ListBullet"/>
        <w:keepLines/>
        <w:spacing w:after="60"/>
      </w:pPr>
      <w:r>
        <w:t>Relance complète, journal des interactions et tableau de bord PoC.</w:t>
      </w:r>
    </w:p>
    <w:p>
      <w:pPr>
        <w:pStyle w:val="ListBullet"/>
        <w:keepLines/>
        <w:spacing w:after="60"/>
      </w:pPr>
      <w:r>
        <w:t>Test de sécurité, auditabilité, sauvegarde, restauration et restitution des données.</w:t>
      </w:r>
    </w:p>
    <w:p>
      <w:pPr>
        <w:pStyle w:val="ListBullet"/>
        <w:keepLines/>
        <w:spacing w:after="60"/>
      </w:pPr>
      <w:r>
        <w:t>Mesure des taux d’enrôlement, paiement, rapprochement automatique, délai de reçu et satisfaction.</w:t>
      </w:r>
    </w:p>
    <w:p>
      <w:pPr>
        <w:pStyle w:val="Heading2"/>
        <w:pageBreakBefore/>
        <w:keepNext/>
      </w:pPr>
      <w:r>
        <w:t>16.4 Go / No-Go Phase 2</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87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Domaine</w:t>
            </w:r>
          </w:p>
        </w:tc>
        <w:tc>
          <w:tcPr>
            <w:tcW w:type="dxa" w:w="7313"/>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Condition</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Fonctionnel</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Parcours bout en bout accepté, anomalies majeures closes et utilisateurs formés.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Finance</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Totaux rapprochés, reçus conformes, absence de double écriture et règles de rémunération validées.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Sécurité</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2FA, RBAC, SoD, audit, scans et tests de pénétration sans risque critique ouvert.</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Données</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Qualité mesurée, migration reproductible et sauvegarde/restauration démontrée.</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Exploitation</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Monitoring, alertes, runbooks, support et SLA prêts.</w:t>
            </w:r>
          </w:p>
        </w:tc>
      </w:tr>
      <w:tr>
        <w:tc>
          <w:tcPr>
            <w:tcW w:type="dxa" w:w="187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Institutionnel</w:t>
            </w:r>
          </w:p>
        </w:tc>
        <w:tc>
          <w:tcPr>
            <w:tcW w:type="dxa" w:w="731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Décision formelle du CNPM et conditions contractuelles approuvées.</w:t>
            </w:r>
          </w:p>
        </w:tc>
      </w:tr>
    </w:tbl>
    <w:p>
      <w:pPr>
        <w:spacing w:after="0"/>
        <w:keepLines/>
      </w:pPr>
    </w:p>
    <w:p>
      <w:pPr>
        <w:pStyle w:val="Heading1"/>
        <w:pageBreakBefore/>
        <w:pBdr>
          <w:bottom w:val="single" w:sz="8" w:space="4" w:color="E30613"/>
        </w:pBdr>
        <w:keepNext/>
      </w:pPr>
      <w:r>
        <w:t>17. Continuité, PRA et réversibilité</w:t>
      </w:r>
    </w:p>
    <w:p>
      <w:pPr>
        <w:pStyle w:val="Heading2"/>
        <w:keepNext/>
      </w:pPr>
      <w:r>
        <w:t>17.1 Continuité et reprise</w:t>
      </w:r>
    </w:p>
    <w:p>
      <w:pPr>
        <w:pStyle w:val="ListBullet"/>
        <w:keepLines/>
        <w:spacing w:after="60"/>
      </w:pPr>
      <w:r>
        <w:t>Analyse d’impact métier par service et définition des priorités de reprise.</w:t>
      </w:r>
    </w:p>
    <w:p>
      <w:pPr>
        <w:pStyle w:val="ListBullet"/>
        <w:keepLines/>
        <w:spacing w:after="60"/>
      </w:pPr>
      <w:r>
        <w:t>Procédures de bascule, restauration et retour au site nominal.</w:t>
      </w:r>
    </w:p>
    <w:p>
      <w:pPr>
        <w:pStyle w:val="ListBullet"/>
        <w:keepLines/>
        <w:spacing w:after="60"/>
      </w:pPr>
      <w:r>
        <w:t>Contacts, rôles de crise, canaux alternatifs et communication institutionnelle.</w:t>
      </w:r>
    </w:p>
    <w:p>
      <w:pPr>
        <w:pStyle w:val="ListBullet"/>
        <w:keepLines/>
        <w:spacing w:after="60"/>
      </w:pPr>
      <w:r>
        <w:t>Exercices PRA périodiques avec chronologie, écarts, actions et approbation.</w:t>
      </w:r>
    </w:p>
    <w:p>
      <w:pPr>
        <w:pStyle w:val="ListBullet"/>
        <w:keepLines/>
        <w:spacing w:after="60"/>
      </w:pPr>
      <w:r>
        <w:t>Modes dégradés documentés : consultation, enrôlement différé, import bancaire et notifications.</w:t>
      </w:r>
    </w:p>
    <w:p>
      <w:pPr>
        <w:pStyle w:val="Heading2"/>
        <w:keepNext/>
      </w:pPr>
      <w:r>
        <w:t>17.2 Réversibilité</w:t>
      </w:r>
    </w:p>
    <w:p>
      <w:pPr>
        <w:pStyle w:val="ListBullet"/>
        <w:keepLines/>
        <w:spacing w:after="60"/>
      </w:pPr>
      <w:r>
        <w:t>Export complet PostgreSQL dans un format documenté et exploitable.</w:t>
      </w:r>
    </w:p>
    <w:p>
      <w:pPr>
        <w:pStyle w:val="ListBullet"/>
        <w:keepLines/>
        <w:spacing w:after="60"/>
      </w:pPr>
      <w:r>
        <w:t>Exports CSV/JSON des entités métier avec dictionnaire, relations et codes de référence.</w:t>
      </w:r>
    </w:p>
    <w:p>
      <w:pPr>
        <w:pStyle w:val="ListBullet"/>
        <w:keepLines/>
        <w:spacing w:after="60"/>
      </w:pPr>
      <w:r>
        <w:t>Restitution des documents avec métadonnées, versions et empreintes.</w:t>
      </w:r>
    </w:p>
    <w:p>
      <w:pPr>
        <w:pStyle w:val="ListBullet"/>
        <w:keepLines/>
        <w:spacing w:after="60"/>
      </w:pPr>
      <w:r>
        <w:t>Restitution des journaux d’audit, historiques d’intégration et preuves de paiement autorisées.</w:t>
      </w:r>
    </w:p>
    <w:p>
      <w:pPr>
        <w:pStyle w:val="ListBullet"/>
        <w:keepLines/>
        <w:spacing w:after="60"/>
      </w:pPr>
      <w:r>
        <w:t>Documentation architecture, déploiement, configuration, API, scripts et procédures.</w:t>
      </w:r>
    </w:p>
    <w:p>
      <w:pPr>
        <w:pStyle w:val="ListBullet"/>
        <w:keepLines/>
        <w:spacing w:after="60"/>
      </w:pPr>
      <w:r>
        <w:t>Test d’import dans un environnement neutre et procès-verbal de complétude.</w:t>
      </w:r>
    </w:p>
    <w:p>
      <w:pPr>
        <w:pStyle w:val="ListBullet"/>
        <w:keepLines/>
        <w:spacing w:after="60"/>
      </w:pPr>
      <w:r>
        <w:t>Suppression contrôlée des copies prestataire après acceptation et expiration des obligations légales.</w:t>
      </w:r>
    </w:p>
    <w:p>
      <w:pPr>
        <w:spacing w:before="100" w:after="140"/>
        <w:ind w:left="198" w:right="85"/>
        <w:pBdr>
          <w:bottom w:val="single" w:sz="6" w:space="3" w:color="1F3A93"/>
        </w:pBdr>
        <w:keepLines/>
      </w:pPr>
      <w:r>
        <w:rPr>
          <w:b/>
          <w:color w:val="1F3A93"/>
        </w:rPr>
        <w:t xml:space="preserve">Souveraineté CNPM - </w:t>
      </w:r>
      <w:r>
        <w:rPr>
          <w:color w:val="1A1D24"/>
        </w:rPr>
        <w:t>Les données, documents, référentiels et preuves produits dans le cadre de la plateforme restent la propriété exclusive du CNPM.</w:t>
      </w:r>
    </w:p>
    <w:p>
      <w:pPr>
        <w:pStyle w:val="Heading1"/>
        <w:pageBreakBefore/>
        <w:pBdr>
          <w:bottom w:val="single" w:sz="8" w:space="4" w:color="E30613"/>
        </w:pBdr>
        <w:keepNext/>
      </w:pPr>
      <w:r>
        <w:t>18. Modèle d’exécution Claude Code</w:t>
      </w:r>
    </w:p>
    <w:p>
      <w:pPr>
        <w:keepLines/>
      </w:pPr>
      <w:r>
        <w:t>Le dépôt est préparé pour une utilisation contrôlée avec Claude Code. Le fichier CLAUDE.md expose les règles permanentes et reste concis. Les règles spécialisées sont séparées par technologie et chemin. Les skills décrivent des workflows reproductibles. Les agents spécialisés effectuent des revues ciblées. Les hooks et permissions empêchent les commandes dangereuses ou les modifications non autorisées.</w:t>
      </w:r>
    </w:p>
    <w:p>
      <w:pPr>
        <w:jc w:val="center"/>
        <w:keepLines/>
      </w:pPr>
      <w:r>
        <w:drawing>
          <wp:inline xmlns:a="http://schemas.openxmlformats.org/drawingml/2006/main" xmlns:pic="http://schemas.openxmlformats.org/drawingml/2006/picture">
            <wp:extent cx="5940000" cy="1145722"/>
            <wp:docPr id="7" name="Picture 7" title="Modèle Claude Code" descr="Organisation de CLAUDE.md, règles, skills, agents, hooks et validations"/>
            <wp:cNvGraphicFramePr>
              <a:graphicFrameLocks noChangeAspect="1"/>
            </wp:cNvGraphicFramePr>
            <a:graphic>
              <a:graphicData uri="http://schemas.openxmlformats.org/drawingml/2006/picture">
                <pic:pic>
                  <pic:nvPicPr>
                    <pic:cNvPr id="0" name="claude-operating-model.png"/>
                    <pic:cNvPicPr/>
                  </pic:nvPicPr>
                  <pic:blipFill>
                    <a:blip r:embed="rId15"/>
                    <a:stretch>
                      <a:fillRect/>
                    </a:stretch>
                  </pic:blipFill>
                  <pic:spPr>
                    <a:xfrm>
                      <a:off x="0" y="0"/>
                      <a:ext cx="5940000" cy="1145722"/>
                    </a:xfrm>
                    <a:prstGeom prst="rect"/>
                  </pic:spPr>
                </pic:pic>
              </a:graphicData>
            </a:graphic>
          </wp:inline>
        </w:drawing>
      </w:r>
    </w:p>
    <w:p>
      <w:pPr>
        <w:spacing w:before="60" w:after="160"/>
        <w:jc w:val="center"/>
        <w:keepLines/>
      </w:pPr>
      <w:r>
        <w:rPr>
          <w:rFonts w:ascii="Lato" w:hAnsi="Lato"/>
          <w:i/>
          <w:color w:val="5D6470"/>
          <w:sz w:val="16"/>
        </w:rPr>
        <w:t>Figure 6 - Modèle d’exécution Claude Code</w:t>
      </w:r>
    </w:p>
    <w:p>
      <w:pPr>
        <w:pStyle w:val="Heading2"/>
        <w:keepNext/>
      </w:pPr>
      <w:r>
        <w:t>18.1 Structure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32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Élément</w:t>
            </w:r>
          </w:p>
        </w:tc>
        <w:tc>
          <w:tcPr>
            <w:tcW w:type="dxa" w:w="686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Rôle</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CLAUDE.md</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Règles globales, sources de vérité, stack, interdictions, commandes et Definition of Done.</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.claude/rules/</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Règles architecture, Java, Angular, Flutter, PostgreSQL, API, sécurité, tests, UX et documentation.</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.claude/skills/</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Implémentation d’une story, migration Flyway, revue de PR et préparation d’une release.</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.claude/agents/</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Revues architecture, données, sécurité, API et tests.</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.claude/hooks/</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Blocage de commandes destructives et garde-fous.</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.claude/settings.json</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Permissions partagées, commandes autorisées, à confirmer ou interdites.</w:t>
            </w:r>
          </w:p>
        </w:tc>
      </w:tr>
      <w:tr>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scripts/validate-pack.sh</w:t>
            </w:r>
          </w:p>
        </w:tc>
        <w:tc>
          <w:tcPr>
            <w:tcW w:type="dxa" w:w="686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Validation structurelle du pack et des contrats.</w:t>
            </w:r>
          </w:p>
        </w:tc>
      </w:tr>
    </w:tbl>
    <w:p>
      <w:pPr>
        <w:spacing w:after="0"/>
        <w:keepLines/>
      </w:pPr>
    </w:p>
    <w:p>
      <w:pPr>
        <w:pStyle w:val="Heading2"/>
        <w:keepNext/>
      </w:pPr>
      <w:r>
        <w:t>18.2 Workflow obligatoire par story</w:t>
      </w:r>
    </w:p>
    <w:p>
      <w:pPr>
        <w:pStyle w:val="ListNumber"/>
        <w:spacing w:after="60"/>
        <w:keepLines/>
      </w:pPr>
      <w:r>
        <w:t>Lire l’exigence, la story, les règles métier et les décisions ouvertes.</w:t>
      </w:r>
    </w:p>
    <w:p>
      <w:pPr>
        <w:pStyle w:val="ListNumber"/>
        <w:spacing w:after="60"/>
        <w:keepLines/>
      </w:pPr>
      <w:r>
        <w:t>Identifier permissions, données, contrats API, événements, audit et scénarios d’erreur.</w:t>
      </w:r>
    </w:p>
    <w:p>
      <w:pPr>
        <w:pStyle w:val="ListNumber"/>
        <w:spacing w:after="60"/>
        <w:keepLines/>
      </w:pPr>
      <w:r>
        <w:t>Proposer un plan de changement et signaler toute contradiction.</w:t>
      </w:r>
    </w:p>
    <w:p>
      <w:pPr>
        <w:pStyle w:val="ListNumber"/>
        <w:spacing w:after="60"/>
        <w:keepLines/>
      </w:pPr>
      <w:r>
        <w:t>Implémenter par incréments en respectant les frontières de module.</w:t>
      </w:r>
    </w:p>
    <w:p>
      <w:pPr>
        <w:pStyle w:val="ListNumber"/>
        <w:spacing w:after="60"/>
        <w:keepLines/>
      </w:pPr>
      <w:r>
        <w:t>Ajouter tests unitaires, intégration, contrat, autorisation et audit.</w:t>
      </w:r>
    </w:p>
    <w:p>
      <w:pPr>
        <w:pStyle w:val="ListNumber"/>
        <w:spacing w:after="60"/>
        <w:keepLines/>
      </w:pPr>
      <w:r>
        <w:t>Exécuter les validateurs et revues spécialisées.</w:t>
      </w:r>
    </w:p>
    <w:p>
      <w:pPr>
        <w:pStyle w:val="ListNumber"/>
        <w:spacing w:after="60"/>
        <w:keepLines/>
      </w:pPr>
      <w:r>
        <w:t>Mettre à jour documentation et traçabilité.</w:t>
      </w:r>
    </w:p>
    <w:p>
      <w:pPr>
        <w:pStyle w:val="ListNumber"/>
        <w:spacing w:after="60"/>
        <w:keepLines/>
      </w:pPr>
      <w:r>
        <w:t>Résumer preuves, limites et risques résiduels avant fusion.</w:t>
      </w:r>
    </w:p>
    <w:p>
      <w:pPr>
        <w:pStyle w:val="Heading2"/>
        <w:keepNext/>
      </w:pPr>
      <w:r>
        <w:t>18.3 Interdictions explicites</w:t>
      </w:r>
    </w:p>
    <w:p>
      <w:pPr>
        <w:pStyle w:val="ListBullet"/>
        <w:keepLines/>
        <w:spacing w:after="60"/>
      </w:pPr>
      <w:r>
        <w:t>Inventer un taux, un partenaire, un droit, une règle ou une donnée manquante.</w:t>
      </w:r>
    </w:p>
    <w:p>
      <w:pPr>
        <w:pStyle w:val="ListBullet"/>
        <w:keepLines/>
        <w:spacing w:after="60"/>
      </w:pPr>
      <w:r>
        <w:t>Modifier les documents sources ou une migration déjà publiée.</w:t>
      </w:r>
    </w:p>
    <w:p>
      <w:pPr>
        <w:pStyle w:val="ListBullet"/>
        <w:keepLines/>
        <w:spacing w:after="60"/>
      </w:pPr>
      <w:r>
        <w:t>Désactiver un contrôle de sécurité pour faire passer un test.</w:t>
      </w:r>
    </w:p>
    <w:p>
      <w:pPr>
        <w:pStyle w:val="ListBullet"/>
        <w:keepLines/>
        <w:spacing w:after="60"/>
      </w:pPr>
      <w:r>
        <w:t>Exécuter une suppression destructive, un déploiement production ou une restauration sans approbation humaine.</w:t>
      </w:r>
    </w:p>
    <w:p>
      <w:pPr>
        <w:pStyle w:val="ListBullet"/>
        <w:keepLines/>
        <w:spacing w:after="60"/>
      </w:pPr>
      <w:r>
        <w:t>Ajouter une dépendance sans justification, licence compatible et décision documentée.</w:t>
      </w:r>
    </w:p>
    <w:p>
      <w:pPr>
        <w:pStyle w:val="ListBullet"/>
        <w:keepLines/>
        <w:spacing w:after="60"/>
      </w:pPr>
      <w:r>
        <w:t>Écrire directement dans PostgreSQL hors migrations et procédures approuvées.</w:t>
      </w:r>
    </w:p>
    <w:p>
      <w:pPr>
        <w:pStyle w:val="Heading1"/>
        <w:pageBreakBefore/>
        <w:pBdr>
          <w:bottom w:val="single" w:sz="8" w:space="4" w:color="E30613"/>
        </w:pBdr>
        <w:keepNext/>
      </w:pPr>
      <w:r>
        <w:t>19. Risques, hypothèses et décisions ouvertes</w:t>
      </w:r>
    </w:p>
    <w:p>
      <w:pPr>
        <w:pStyle w:val="Heading2"/>
        <w:keepNext/>
      </w:pPr>
      <w:r>
        <w:t>19.1 Registre initial des risques</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blHeader w:val="true"/>
        </w:trPr>
        <w:tc>
          <w:tcPr>
            <w:tcW w:type="dxa" w:w="68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ID</w:t>
            </w:r>
          </w:p>
        </w:tc>
        <w:tc>
          <w:tcPr>
            <w:tcW w:type="dxa" w:w="232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Risque</w:t>
            </w:r>
          </w:p>
        </w:tc>
        <w:tc>
          <w:tcPr>
            <w:tcW w:type="dxa" w:w="102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Probabilité</w:t>
            </w:r>
          </w:p>
        </w:tc>
        <w:tc>
          <w:tcPr>
            <w:tcW w:type="dxa" w:w="102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Impact</w:t>
            </w:r>
          </w:p>
        </w:tc>
        <w:tc>
          <w:tcPr>
            <w:tcW w:type="dxa" w:w="96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Criticité</w:t>
            </w:r>
          </w:p>
        </w:tc>
        <w:tc>
          <w:tcPr>
            <w:tcW w:type="dxa" w:w="238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Mesure</w:t>
            </w:r>
          </w:p>
        </w:tc>
        <w:tc>
          <w:tcPr>
            <w:tcW w:type="dxa" w:w="96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Propriétaire</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R-001</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Qualité insuffisante des données membres</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Profilage, dédoublonnage, règles de rejet, reprise progressive.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Responsable données</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R-002</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Intégrations de paiement non stabilisées</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Contrats d’API précoces, simulateurs, idempotence et rapprochement de secours.</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Architecte intégration</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R-003</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Fraude ou erreur sur les confirmations</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Séparation des tâches, 2FA, limites, audit immuable et alertes.</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RSSI/Finance</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R-004</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Faible connectivité terrain</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PWA/mobile offline-first, files locales, reprise et compression.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Lead mobile</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R-005</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Résistance au changement</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Formation, relais groupements, pilote et support de proximité.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Change manager</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R-006</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Dépendance au prestataire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Standards ouverts, dépôt CNPM, documentation, export et réversibilité testée.</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Comité de pilotage</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R-007</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Sous-dimensionnement PostgreSQL</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Faible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Tests de charge, supervision, PgBouncer, index et réplication.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DBA</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R-008</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Fuite de données personnelles</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Très 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Classification, chiffrement, moindre privilège, DLP et réponse incident.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RSSI/DPO</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R-009</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Dérive fonctionnelle du backlog</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Traçabilité exigences-stories-tests et contrôle de changement.</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Product Owner</w:t>
            </w:r>
          </w:p>
        </w:tc>
      </w:tr>
      <w:tr>
        <w:tc>
          <w:tcPr>
            <w:tcW w:type="dxa" w:w="68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R-010</w:t>
            </w:r>
          </w:p>
        </w:tc>
        <w:tc>
          <w:tcPr>
            <w:tcW w:type="dxa" w:w="23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Rapports décisionnels non fiables</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Moyenne</w:t>
            </w:r>
          </w:p>
        </w:tc>
        <w:tc>
          <w:tcPr>
            <w:tcW w:type="dxa" w:w="102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c>
          <w:tcPr>
            <w:tcW w:type="dxa" w:w="238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Définitions KPI, réconciliation, lineage et validation métier.</w:t>
            </w:r>
          </w:p>
        </w:tc>
        <w:tc>
          <w:tcPr>
            <w:tcW w:type="dxa" w:w="96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Responsable BI</w:t>
            </w:r>
          </w:p>
        </w:tc>
      </w:tr>
    </w:tbl>
    <w:p>
      <w:pPr>
        <w:spacing w:after="0"/>
        <w:keepLines/>
      </w:pPr>
    </w:p>
    <w:p>
      <w:pPr>
        <w:pStyle w:val="Heading2"/>
        <w:keepNext/>
      </w:pPr>
      <w:r>
        <w:t>19.2 Décisions ouvertes</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blHeader w:val="true"/>
        </w:trPr>
        <w:tc>
          <w:tcPr>
            <w:tcW w:type="dxa" w:w="73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ID</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Sujet</w:t>
            </w:r>
          </w:p>
        </w:tc>
        <w:tc>
          <w:tcPr>
            <w:tcW w:type="dxa" w:w="3118"/>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Question</w:t>
            </w:r>
          </w:p>
        </w:tc>
        <w:tc>
          <w:tcPr>
            <w:tcW w:type="dxa" w:w="1417"/>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Responsable</w:t>
            </w:r>
          </w:p>
        </w:tc>
        <w:tc>
          <w:tcPr>
            <w:tcW w:type="dxa" w:w="136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Échéance</w:t>
            </w:r>
          </w:p>
        </w:tc>
        <w:tc>
          <w:tcPr>
            <w:tcW w:type="dxa" w:w="85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Impact</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DEC-001</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Hébergement de production</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Choisir souverain/on-premise, cloud local/régional ou hybride.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 DSI</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architecture physique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DEC-002</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Opérateurs Mobile Money</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Identifier les opérateurs, contrats, sandbox et mécanismes de règlement.</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Finance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sprint paiement</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DEC-003</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Banques et formats de relevé</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Lister les banques et formats disponibles: API, ISO 20022, CSV, MT940.</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Finance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sprint rapprochement</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DEC-004</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Prestataires SMS et e-mail</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Choisir les passerelles et confirmer les engagements de service.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Communication/DSI</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notifications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DEC-005</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Signature des reçus</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Choisir certificat, cachet serveur, horodatage et autorité de confiance.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Finance/Juridique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émission officielle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DEC-006</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Durées de conservation</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Valider les durées par catégorie et obligations maliennes applicables.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Juridique/DPO</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mise en production</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DEC-007</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Interopérabilité INPS</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Obtenir gouvernance, protocole, données et calendrier de l’INPS.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CNPM/INPS</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Roadmap Phase 2</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DEC-008</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Barèmes de cotisation</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Valider la grille, paliers, dérogations et exercice de référence.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Finance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génération d’appels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DEC-009</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Taux de prime et partage</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Valider taux, assiettes, éligibilité, plafonds et règles de litige.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Direction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module primes</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DEC-010</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Distribution mobile</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Déterminer stores publics, MDM ou distribution privée.</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DSI</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Avant bêta mobile</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Moyen</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DEC-011</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SLA de production</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Valider disponibilité, RTO, RPO, support et pénalités.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CNPM + Prestataire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Contractualisation</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Élevé</w:t>
            </w:r>
          </w:p>
        </w:tc>
      </w:tr>
      <w:tr>
        <w:tc>
          <w:tcPr>
            <w:tcW w:type="dxa" w:w="73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DEC-012</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Périmètre du PoC</w:t>
            </w:r>
          </w:p>
        </w:tc>
        <w:tc>
          <w:tcPr>
            <w:tcW w:type="dxa" w:w="3118"/>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Fixer taille, segments, durée et seuils de succès.</w:t>
            </w:r>
          </w:p>
        </w:tc>
        <w:tc>
          <w:tcPr>
            <w:tcW w:type="dxa" w:w="1417"/>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Comité de pilotage</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Cadrage PoC</w:t>
            </w:r>
          </w:p>
        </w:tc>
        <w:tc>
          <w:tcPr>
            <w:tcW w:type="dxa" w:w="8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4"/>
              </w:rPr>
              <w:t>Critique</w:t>
            </w:r>
          </w:p>
        </w:tc>
      </w:tr>
    </w:tbl>
    <w:p>
      <w:pPr>
        <w:spacing w:after="0"/>
        <w:keepLines/>
      </w:pPr>
    </w:p>
    <w:p>
      <w:pPr>
        <w:spacing w:before="100" w:after="140"/>
        <w:ind w:left="198" w:right="85"/>
        <w:pBdr>
          <w:bottom w:val="single" w:sz="6" w:space="3" w:color="1F3A93"/>
        </w:pBdr>
        <w:keepLines/>
      </w:pPr>
      <w:r>
        <w:rPr>
          <w:b/>
          <w:color w:val="1F3A93"/>
        </w:rPr>
        <w:t xml:space="preserve">Condition de démarrage - </w:t>
      </w:r>
      <w:r>
        <w:rPr>
          <w:color w:val="1A1D24"/>
        </w:rPr>
        <w:t>Les décisions critiques relatives aux paiements, banques, barèmes, reçus et sécurité doivent être clôturées avant les sprints concernés.</w:t>
      </w:r>
    </w:p>
    <w:p>
      <w:pPr>
        <w:pStyle w:val="Heading1"/>
        <w:pageBreakBefore/>
        <w:pBdr>
          <w:bottom w:val="single" w:sz="8" w:space="4" w:color="E30613"/>
        </w:pBdr>
        <w:keepNext/>
      </w:pPr>
      <w:r>
        <w:t>20. Critères d’acceptation de l’architecture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98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Domaine</w:t>
            </w:r>
          </w:p>
        </w:tc>
        <w:tc>
          <w:tcPr>
            <w:tcW w:type="dxa" w:w="720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Critère de réception</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Architecture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Frontières de module contrôlées automatiquement ; aucune dépendance interdite.</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PostgreSQL</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Migrations exécutables de zéro, contraintes valides, restauration PITR démontrée.</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API</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OpenAPI/AsyncAPI valides, operationId uniques, compatibilité et erreurs normalisées.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Sécurité</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2FA, RBAC, SoD, audit, scans et tests de pénétration conformes.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Finance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Idempotence et concurrence prouvées ; aucune double écriture ou double reçu.</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UX</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Design system respecté, absence de cadres colorés décoratifs, accessibilité AA.</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Mobile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Synchronisation robuste, conflits visibles et aucune confirmation financière hors ligne.</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Performance</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SLO mesurés sur volumétrie représentative sans saturation de PostgreSQL.</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Exploitation</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Monitoring, alertes, runbooks, sauvegarde, restauration et PRA testés.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Réversibilité</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Export complet, documenté, contrôlé et réimportable.</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Traçabilité</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Chaque exigence est reliée à story, code, données, API et tests.</w:t>
            </w:r>
          </w:p>
        </w:tc>
      </w:tr>
      <w:tr>
        <w:tc>
          <w:tcPr>
            <w:tcW w:type="dxa" w:w="198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Documentation</w:t>
            </w:r>
          </w:p>
        </w:tc>
        <w:tc>
          <w:tcPr>
            <w:tcW w:type="dxa" w:w="720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DCTD, ADR, contrats, dictionnaire, runbooks et manuels à jour.</w:t>
            </w:r>
          </w:p>
        </w:tc>
      </w:tr>
    </w:tbl>
    <w:p>
      <w:pPr>
        <w:spacing w:after="0"/>
        <w:keepLines/>
      </w:pPr>
    </w:p>
    <w:p>
      <w:pPr>
        <w:pStyle w:val="Heading2"/>
        <w:keepNext/>
      </w:pPr>
      <w:r>
        <w:t>20.1 Livrables de la baseline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283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Livrable</w:t>
            </w:r>
          </w:p>
        </w:tc>
        <w:tc>
          <w:tcPr>
            <w:tcW w:type="dxa" w:w="635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Contenu</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DCTD Word/PDF</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Architecture, données, sécurité, exploitation et exécution.</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OpenAPI / AsyncAPI</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Contrats synchrones et asynchrones.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Migrations PostgreSQL</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Schémas, tables, contraintes, index, référentiels et protections append-only.</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Dictionnaire de données</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Classeur détaillé des schémas, tables et colonnes.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RBAC / SoD</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Rôles, permissions, matrice et contrôles de séparation.</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Backlog / traçabilité / recette</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Stories, critères, releases, tests, risques et décisions.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BPMN</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Processus prioritaires exécutables ou importables.</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Design system</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Règles visuelles, accessibilité, écrans et prototype de référence.</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DevSecOps</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Docker, CI/CD, scripts de validation, environnement et exploitation.</w:t>
            </w:r>
          </w:p>
        </w:tc>
      </w:tr>
      <w:tr>
        <w:tc>
          <w:tcPr>
            <w:tcW w:type="dxa" w:w="28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Configuration Claude Code</w:t>
            </w:r>
          </w:p>
        </w:tc>
        <w:tc>
          <w:tcPr>
            <w:tcW w:type="dxa" w:w="635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CLAUDE.md, rules, skills, agents, hooks et permissions.</w:t>
            </w:r>
          </w:p>
        </w:tc>
      </w:tr>
    </w:tbl>
    <w:p>
      <w:pPr>
        <w:spacing w:after="0"/>
        <w:keepLines/>
      </w:pPr>
    </w:p>
    <w:p>
      <w:pPr>
        <w:pStyle w:val="Heading1"/>
        <w:pageBreakBefore/>
        <w:pBdr>
          <w:bottom w:val="single" w:sz="8" w:space="4" w:color="E30613"/>
        </w:pBdr>
        <w:keepNext/>
      </w:pPr>
      <w:r>
        <w:t>Annexe A - Index documentaire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782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Chemin</w:t>
            </w:r>
          </w:p>
        </w:tc>
        <w:tc>
          <w:tcPr>
            <w:tcW w:type="dxa" w:w="136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4"/>
              </w:rPr>
              <w:t>Taille (octets)</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.claude/agents/api-contract-reviewer.md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332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.claude/agents/architecture-reviewer.md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461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.claude/agents/database-reviewer.md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372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.claude/agents/security-reviewer.md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381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.claude/agents/test-reviewer.md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352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.claude/commands/create-migration.md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236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.claude/commands/implement-story.md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323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.claude/commands/review-pr.md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.claude/commands/review-security.md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228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.claude/hooks/__pycache__/guard-command.cpython-313.pyc</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1655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.claude/hooks/block-dangerous.sh</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324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.claude/hooks/guard-command.py</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821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.claude/rules/api.md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462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.claude/rules/architecture.md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.claude/rules/backend-java.md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.claude/rules/documentation.md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437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.claude/rules/frontend-angular.md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571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.claude/rules/mobile-flutter.md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417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.claude/rules/postgresql.md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576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.claude/rules/security.md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461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.claude/rules/testing.md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735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.claude/rules/ux-ui.md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.claude/settings.json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1154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.claude/skills/create-flyway-migration/SKILL.md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401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.claude/skills/implement-user-story/SKILL.md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521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.claude/skills/release-readiness/SKILL.md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416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.claude/skills/review-pull-request/SKILL.md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387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docs/00-governance/document-control.md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docs/00-governance/file-inventory.csv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28234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docs/00-governance/glossary.md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1947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docs/00-governance/open-decisions.md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2971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docs/00-governance/pack-validation-report.md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6703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docs/00-governance/risk-register.md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1798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docs/00-governance/source-of-truth.md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659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docs/00-governance/technology-sources.md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656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docs/00-sources/Specifications_Fonctionnelles_CNPM_v1.1.docx</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116636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docs/00-sources/Specifications_Fonctionnelles_CNPM_v1.1.pdf</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998856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docs/00-sources/TDR_NTA_Digitalisation_Cotisations_CNPM.pdf</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221043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docs/00-sources/logo-CNPM.png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32095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docs/01-product/CNPM_Backlog_Traceabilite_Recette.xlsx</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82641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docs/01-product/business-rules.md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docs/01-product/definition-of-done.md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725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docs/01-product/definition-of-ready.md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594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docs/01-product/kpi-catalog.md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1672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docs/01-product/product-backlog.csv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61530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docs/01-product/product-backlog.md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101457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docs/01-product/release-plan.md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871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docs/01-product/requirements-catalog.md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24234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docs/01-product/tdr-traceability.md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1473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docs/01-product/traceability-matrix.csv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28180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docs/01-product/traceability-matrix.md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24686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docs/02-architecture/CNPM_DCTD_v1.0.docx</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978171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docs/02-architecture/CNPM_DCTD_v1.0.pdf</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2162415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docs/02-architecture/adr/ADR-001-monolithe-modulaire.md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702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docs/02-architecture/adr/ADR-002-postgresql-source-verite.md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670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docs/02-architecture/adr/ADR-003-iam-keycloak.md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603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docs/02-architecture/adr/ADR-004-outbox-idempotence.md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633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docs/02-architecture/adr/ADR-005-stockage-objet.md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606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docs/02-architecture/adr/ADR-006-reporting-read-model.md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614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docs/02-architecture/adr/ADR-007-design-sobre.md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647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docs/02-architecture/architecture-principles.md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1124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docs/02-architecture/dctd.md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7982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docs/02-architecture/diagrams/container-diagram.mmd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495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docs/02-architecture/diagrams/deployment.mmd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565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docs/02-architecture/diagrams/rendered/claude-operating-model.dot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1039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docs/02-architecture/diagrams/rendered/claude-operating-model.png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106790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docs/02-architecture/diagrams/rendered/claude-operating-model.svg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8059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docs/02-architecture/diagrams/rendered/deployment.dot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1646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docs/02-architecture/diagrams/rendered/deployment.png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242718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docs/02-architecture/diagrams/rendered/deployment.svg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11314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docs/02-architecture/diagrams/rendered/logical-architecture.dot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2357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docs/02-architecture/diagrams/rendered/logical-architecture.png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214028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docs/02-architecture/diagrams/rendered/logical-architecture.svg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12774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docs/02-architecture/diagrams/rendered/payment-flow.dot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docs/02-architecture/diagrams/rendered/payment-flow.png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169404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docs/02-architecture/diagrams/rendered/payment-flow.svg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8927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docs/02-architecture/diagrams/rendered/security-layers.dot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896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docs/02-architecture/diagrams/rendered/security-layers.png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93981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docs/02-architecture/diagrams/rendered/security-layers.svg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5963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docs/02-architecture/diagrams/rendered/system-context.dot</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1855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docs/02-architecture/diagrams/rendered/system-context.png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294063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docs/02-architecture/diagrams/rendered/system-context.svg</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8711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docs/02-architecture/diagrams/system-context.mmd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603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docs/02-architecture/modules.md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2672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docs/02-architecture/technology-stack.md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2240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docs/03-data/CNPM_Dictionnaire_Donnees_PostgreSQL.xlsx</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77275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docs/03-data/data-dictionary.csv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108436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docs/03-data/data-migration-plan.md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827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docs/03-data/data-model.md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8991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docs/03-data/diagrams/er-overview.mmd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1523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docs/03-data/diagrams/model.dbml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32546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docs/03-data/erd-overview.mmd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7566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docs/03-data/migrations/README.md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488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docs/03-data/migrations/V1__create_schemas_and_tables.sql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108619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docs/03-data/migrations/V2__add_constraints_and_indexes.sql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42176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docs/03-data/migrations/V3__seed_roles_permissions_and_references.sql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68676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docs/03-data/migrations/V4__protect_append_only_tables.sql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3466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docs/03-data/postgresql-conventions.md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1157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docs/03-data/postgresql-engineering-rules.md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1284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docs/03-data/schema.sql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175192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docs/04-api/api-catalog.csv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6598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docs/04-api/api-conventions.md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718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docs/04-api/api-guidelines.md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729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docs/04-api/asyncapi.yaml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5858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docs/04-api/error-catalog.md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1251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docs/04-api/openapi.yaml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100581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docs/04-api/webhook-contracts.md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657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docs/05-security/CNPM_RBAC_Matrice.xlsx</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23910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docs/05-security/access-review-procedure.md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484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docs/05-security/data-classification.md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782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docs/05-security/incident-response.md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805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docs/05-security/permissions.csv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5841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docs/05-security/rbac-grants.csv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7396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docs/05-security/rbac-matrix.md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7986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docs/05-security/security-architecture.md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1493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docs/05-security/security-requirements.md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1933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docs/05-security/separation-of-duties.md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1429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docs/05-security/threat-model.md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1108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docs/06-ux/accessibility.md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625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docs/06-ux/design-system.md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2906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docs/06-ux/design-tokens.css</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464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docs/06-ux/design-tokens.json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1148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docs/06-ux/prototypes/prototype-backoffice.html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10266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docs/06-ux/prototypes/prototype-portail-membre.html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7010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docs/06-ux/screen-inventory.md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955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docs/07-processes/README.md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258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docs/07-processes/access-review.bpmn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1306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docs/07-processes/bank-transfer-reconciliation.bpmn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1212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docs/07-processes/bank-transfer-reconciliation.mmd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docs/07-processes/bank-transfer.bpmn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1579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docs/07-processes/bonus-calculation.bpmn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1185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docs/07-processes/bonus-calculation.mmd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280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docs/07-processes/bonus.bpmn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1347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docs/07-processes/contribution-call.bpmn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1310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docs/07-processes/contribution-campaign.bpmn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docs/07-processes/contribution-campaign.mmd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docs/07-processes/data-export.bpmn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docs/07-processes/data-export.mmd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286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docs/07-processes/enrollment.bpmn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1050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docs/07-processes/enrollment.mmd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239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docs/07-processes/incident-response.bpmn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1154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docs/07-processes/incident-response.mmd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249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docs/07-processes/mobile-money-payment.bpmn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1199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docs/07-processes/mobile-money-payment.mmd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285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docs/07-processes/process-catalog.md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1769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docs/07-processes/receipt-correction.bpmn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1201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docs/07-processes/receipt-correction.mmd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291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docs/07-processes/receipt.bpmn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1309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docs/07-processes/recovery-campaign.bpmn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1174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docs/07-processes/recovery-campaign.mmd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269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docs/07-processes/recovery.bpmn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1425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docs/07-processes/request.bpmn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1410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docs/07-processes/revenue-share.bpmn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1326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docs/07-processes/reversibility.bpmn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1449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docs/07-processes/service-request.bpmn</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docs/07-processes/service-request.mmd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232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docs/07-processes/state-machines.md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713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docs/08-integrations/banking.md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641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docs/08-integrations/inps-roadmap.md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682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docs/08-integrations/integration-standards.md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479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docs/08-integrations/messaging.md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651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docs/08-integrations/mobile-money.md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677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docs/08-integrations/object-storage.md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662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docs/09-testing/acceptance-plan.md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677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docs/09-testing/e2e-scenarios.md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docs/09-testing/migration-test-plan.md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554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docs/09-testing/performance-test-plan.md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668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docs/09-testing/test-catalog.csv</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107930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docs/09-testing/test-data-policy.md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388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docs/09-testing/test-strategy.md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1140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docs/10-operations/backup-restore.md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666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docs/10-operations/developer-environment.md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474</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docs/10-operations/disaster-recovery.md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568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docs/10-operations/environments.md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789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docs/10-operations/observability.md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537</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docs/10-operations/reversibility.md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516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docs/10-operations/runbook.md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733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docs/11-claude-code/operating-model.md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1039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docs/11-claude-code/prompt-library.md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711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infrastructure/ci/.gitlab-ci.yml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1048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infrastructure/ci/gitlab-ci.yml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1013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infrastructure/docker/README.md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383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infrastructure/docker/compose.yaml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1080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infrastructure/kubernetes/README.md</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388</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infrastructure/kubernetes/base/app.yaml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1142</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infrastructure/kubernetes/base/config.yaml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421</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infrastructure/kubernetes/base/kustomization.yaml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115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infrastructure/kubernetes/base/namespace.yaml</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63</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scripts/__pycache__/validate-openapi.cpython-313.pyc</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1236</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scripts/__pycache__/validate-pack.cpython-313.pyc</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10885</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scripts/validate-openapi.py</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549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scripts/validate-openapi.sh</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699</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scripts/validate-pack.py</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6850</w:t>
            </w:r>
          </w:p>
        </w:tc>
      </w:tr>
      <w:tr>
        <w:tc>
          <w:tcPr>
            <w:tcW w:type="dxa" w:w="782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scripts/validate-pack.sh</w:t>
            </w:r>
          </w:p>
        </w:tc>
        <w:tc>
          <w:tcPr>
            <w:tcW w:type="dxa" w:w="136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3"/>
              </w:rPr>
              <w:t>162</w:t>
            </w:r>
          </w:p>
        </w:tc>
      </w:tr>
    </w:tbl>
    <w:p>
      <w:pPr>
        <w:spacing w:after="0"/>
        <w:keepLines/>
      </w:pPr>
    </w:p>
    <w:p>
      <w:pPr>
        <w:pStyle w:val="Heading1"/>
        <w:pageBreakBefore/>
        <w:pBdr>
          <w:bottom w:val="single" w:sz="8" w:space="4" w:color="E30613"/>
        </w:pBdr>
        <w:keepNext/>
      </w:pPr>
      <w:r>
        <w:t>Annexe B - Répartition des exigences</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6803"/>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Module</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Nombre</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Administration et paramétrage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5</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Membres et entreprises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Enrôlement et adhésion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Cotisations et échéanciers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Paiements et rapprochement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Reçus et attestations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6</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Recouvrement et relances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Portail et application membre</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10</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Requêtes et réclamations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Groupements professionnels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6</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Primes et partage de revenus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Gestion électronique des documents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6</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Événements et formations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4</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Décisionnel et reporting</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8</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Sécurité et identité</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5</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Audit et conformité</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5</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Intégrations et interopérabilité</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6</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PostgreSQL et données</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16</w:t>
            </w:r>
          </w:p>
        </w:tc>
      </w:tr>
      <w:tr>
        <w:tc>
          <w:tcPr>
            <w:tcW w:type="dxa" w:w="6803"/>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Architecture technique et exploitation</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12</w:t>
            </w:r>
          </w:p>
        </w:tc>
      </w:tr>
    </w:tbl>
    <w:p>
      <w:pPr>
        <w:spacing w:after="0"/>
        <w:keepLines/>
      </w:pP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4535"/>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Priorité</w:t>
            </w:r>
          </w:p>
        </w:tc>
        <w:tc>
          <w:tcPr>
            <w:tcW w:type="dxa" w:w="1701"/>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Nombre</w:t>
            </w:r>
          </w:p>
        </w:tc>
      </w:tr>
      <w:tr>
        <w:tc>
          <w:tcPr>
            <w:tcW w:type="dxa" w:w="45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Must</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104</w:t>
            </w:r>
          </w:p>
        </w:tc>
      </w:tr>
      <w:tr>
        <w:tc>
          <w:tcPr>
            <w:tcW w:type="dxa" w:w="45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Should</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33</w:t>
            </w:r>
          </w:p>
        </w:tc>
      </w:tr>
      <w:tr>
        <w:tc>
          <w:tcPr>
            <w:tcW w:type="dxa" w:w="4535"/>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Could</w:t>
            </w:r>
          </w:p>
        </w:tc>
        <w:tc>
          <w:tcPr>
            <w:tcW w:type="dxa" w:w="1701"/>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7</w:t>
            </w:r>
          </w:p>
        </w:tc>
      </w:tr>
    </w:tbl>
    <w:p>
      <w:pPr>
        <w:spacing w:after="0"/>
        <w:keepLines/>
      </w:pPr>
    </w:p>
    <w:p>
      <w:pPr>
        <w:pStyle w:val="Heading1"/>
        <w:pageBreakBefore/>
        <w:pBdr>
          <w:bottom w:val="single" w:sz="8" w:space="4" w:color="E30613"/>
        </w:pBdr>
        <w:keepNext/>
      </w:pPr>
      <w:r>
        <w:t>Annexe C - Glossaire technique</w:t>
      </w:r>
    </w:p>
    <w:tbl>
      <w:tblPr>
        <w:tblW w:type="auto" w:w="0"/>
        <w:jc w:val="center"/>
        <w:tblLayout w:type="fixed"/>
        <w:tblLook w:firstColumn="1" w:firstRow="1" w:lastColumn="0" w:lastRow="0" w:noHBand="0" w:noVBand="1" w:val="04A0"/>
      </w:tblPr>
      <w:tblGrid>
        <w:gridCol w:w="4986"/>
        <w:gridCol w:w="4986"/>
      </w:tblGrid>
      <w:tr>
        <w:trPr>
          <w:tblHeader w:val="true"/>
          <w:tblHeader w:val="true"/>
        </w:trPr>
        <w:tc>
          <w:tcPr>
            <w:tcW w:type="dxa" w:w="1814"/>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Terme</w:t>
            </w:r>
          </w:p>
        </w:tc>
        <w:tc>
          <w:tcPr>
            <w:tcW w:type="dxa" w:w="7370"/>
            <w:tcMar>
              <w:top w:w="80" w:type="dxa"/>
              <w:start w:w="100" w:type="dxa"/>
              <w:bottom w:w="80" w:type="dxa"/>
              <w:end w:w="100" w:type="dxa"/>
            </w:tcMar>
            <w:shd w:fill="FFFFFF"/>
            <w:tcBorders>
              <w:top w:val="nil" w:sz="4" w:color="D8DDE6"/>
              <w:left w:val="nil" w:sz="4" w:color="D8DDE6"/>
              <w:bottom w:val="single" w:sz="10" w:color="1F3A93"/>
              <w:right w:val="nil" w:sz="4" w:color="D8DDE6"/>
            </w:tcBorders>
            <w:vAlign w:val="center"/>
          </w:tcPr>
          <w:p>
            <w:pPr>
              <w:spacing w:before="0" w:after="0" w:line="252" w:lineRule="auto"/>
            </w:pPr>
            <w:r>
              <w:rPr>
                <w:rFonts w:ascii="Lato" w:hAnsi="Lato" w:eastAsia="Lato"/>
                <w:b/>
                <w:color w:val="1F3A93"/>
                <w:sz w:val="17"/>
              </w:rPr>
              <w:t>Définition</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ACID</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Atomicité, cohérence, isolation et durabilité des transactions.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ADR</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Enregistrement formel d’une décision d’architecture et de ses conséquences.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AsyncAPI</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Contrat de description des événements et canaux asynchrones.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BPMN / DMN</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Notations de processus et de décisions.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Idempotence</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Répéter une demande ne produit pas un second effet métier.</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OIDC / OAuth 2.0</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Protocoles d’identité et d’autorisation.</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Outbox</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Publication fiable d’événements depuis une transaction de base de données.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PITR</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Restauration PostgreSQL à un instant choisi.</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RPO / RTO</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Perte de données et temps de reprise maximum acceptables.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SBOM</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Inventaire des composants logiciels et de leurs versions.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SoD</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Séparation des tâches incompatibles.</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Step-up</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Authentification renforcée demandée avant une action sensible.</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WAL</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Journal d’écriture PostgreSQL utilisé pour réplication et restauration.</w:t>
            </w:r>
          </w:p>
        </w:tc>
      </w:tr>
      <w:tr>
        <w:tc>
          <w:tcPr>
            <w:tcW w:type="dxa" w:w="1814"/>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WebAuthn</w:t>
            </w:r>
          </w:p>
        </w:tc>
        <w:tc>
          <w:tcPr>
            <w:tcW w:type="dxa" w:w="7370"/>
            <w:tcMar>
              <w:top w:w="80" w:type="dxa"/>
              <w:start w:w="100" w:type="dxa"/>
              <w:bottom w:w="80" w:type="dxa"/>
              <w:end w:w="100" w:type="dxa"/>
            </w:tcMar>
            <w:shd w:fill="FFFFFF"/>
            <w:tcBorders>
              <w:top w:val="single" w:sz="4" w:color="D8DDE6"/>
              <w:left w:val="single" w:sz="4" w:color="D8DDE6"/>
              <w:bottom w:val="single" w:sz="4" w:color="D8DDE6"/>
              <w:right w:val="single" w:sz="4" w:color="D8DDE6"/>
            </w:tcBorders>
            <w:vAlign w:val="center"/>
          </w:tcPr>
          <w:p>
            <w:pPr>
              <w:spacing w:before="0" w:after="0" w:line="252" w:lineRule="auto"/>
            </w:pPr>
            <w:r>
              <w:rPr>
                <w:rFonts w:ascii="Lato" w:hAnsi="Lato" w:eastAsia="Lato"/>
                <w:b w:val="0"/>
                <w:color w:val="1A1D24"/>
                <w:sz w:val="17"/>
              </w:rPr>
              <w:t>Authentification forte par clé de sécurité ou passkey.</w:t>
            </w:r>
          </w:p>
        </w:tc>
      </w:tr>
    </w:tbl>
    <w:p>
      <w:pPr>
        <w:spacing w:after="0"/>
        <w:keepLines/>
      </w:pPr>
    </w:p>
    <w:sectPr w:rsidR="00FC693F" w:rsidRPr="0006063C" w:rsidSect="00034616">
      <w:headerReference w:type="default" r:id="rId16"/>
      <w:footerReference w:type="default" r:id="rId17"/>
      <w:headerReference w:type="first" r:id="rId18"/>
      <w:footerReference w:type="first" r:id="rId19"/>
      <w:pgSz w:w="11906" w:h="16838"/>
      <w:pgMar w:top="964" w:right="1134" w:bottom="964" w:left="1134"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D6470"/>
        <w:sz w:val="16"/>
      </w:rPr>
      <w:t xml:space="preserve">Page </w:t>
    </w:r>
    <w:r>
      <w:fldChar w:fldCharType="begin"/>
      <w:instrText xml:space="preserve">PAGE</w:instrText>
      <w:fldChar w:fldCharType="separate"/>
      <w:t>1</w:t>
      <w:fldChar w:fldCharType="end"/>
    </w:r>
    <w:r>
      <w:rPr>
        <w:rFonts w:ascii="Lato" w:hAnsi="Lato"/>
        <w:color w:val="5D6470"/>
        <w:sz w:val="16"/>
      </w:rPr>
      <w:t xml:space="preserve"> /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2" w:color="E30613"/>
      </w:pBdr>
    </w:pPr>
    <w:r>
      <w:rPr>
        <w:rFonts w:ascii="Lato" w:hAnsi="Lato"/>
        <w:color w:val="1F3A93"/>
        <w:sz w:val="16"/>
      </w:rPr>
      <w:t>CNPM  |  Dossier de conception technique détaillée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Lato" w:hAnsi="Lato" w:eastAsia="Lato"/>
      <w:color w:val="1A1D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Lato" w:hAnsi="Lato" w:eastAsia="Lato"/>
      <w:b/>
      <w:bCs/>
      <w:color w:val="1F3A9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eastAsia="Lato"/>
      <w:b/>
      <w:bCs/>
      <w:color w:val="1F3A9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eastAsia="Lato"/>
      <w:b/>
      <w:bCs/>
      <w:color w:val="1F3A9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ato" w:hAnsi="Lato" w:eastAsia="Lato"/>
      <w:color w:val="1A1D24"/>
      <w:sz w:val="18"/>
    </w:rPr>
  </w:style>
  <w:style w:type="paragraph" w:styleId="ListBullet2">
    <w:name w:val="List Bullet 2"/>
    <w:basedOn w:val="Normal"/>
    <w:uiPriority w:val="99"/>
    <w:unhideWhenUsed/>
    <w:rsid w:val="00326F90"/>
    <w:pPr>
      <w:numPr>
        <w:numId w:val="2"/>
      </w:numPr>
      <w:spacing w:after="40"/>
      <w:contextualSpacing/>
    </w:pPr>
    <w:rPr>
      <w:rFonts w:ascii="Lato" w:hAnsi="Lato" w:eastAsia="Lato"/>
      <w:color w:val="1A1D24"/>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ato" w:hAnsi="Lato" w:eastAsia="Lato"/>
      <w:color w:val="1A1D24"/>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rPr>
      <w:rFonts w:ascii="Lato" w:hAnsi="Lato"/>
      <w:color w:val="5D647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technique détaillée - Plateforme digitale CNPM</dc:title>
  <dc:subject>Architecture, PostgreSQL, sécurité, API, UX, DevSecOps et Claude Code</dc:subject>
  <dc:creator>Conseil National du Patronat du Mali</dc:creator>
  <cp:keywords>CNPM, PostgreSQL, Spring Boot, Angular, Flutter, Claude Code, DCTD</cp:keywords>
  <dc:description>Baseline technique v1.0</dc:description>
  <cp:lastModifiedBy/>
  <cp:revision>1</cp:revision>
  <dcterms:created xsi:type="dcterms:W3CDTF">2013-12-23T23:15:00Z</dcterms:created>
  <dcterms:modified xsi:type="dcterms:W3CDTF">2013-12-23T23:15:00Z</dcterms:modified>
  <cp:category/>
</cp:coreProperties>
</file>