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MODÈLE D’INTERFACE DU DOSSIER PATIENT INFORMATISÉ</w:t>
        <w:br/>
        <w:t>EAGLE’S EYE OPTICS MEDICAL</w:t>
      </w:r>
    </w:p>
    <w:p>
      <w:r>
        <w:rPr>
          <w:b/>
        </w:rPr>
        <w:t xml:space="preserve">Objet : </w:t>
      </w:r>
      <w:r>
        <w:t>proposition fonctionnelle à transmettre à l’ingénieur informatique pour la configuration de la plateforme.</w:t>
      </w:r>
    </w:p>
    <w:p>
      <w:pPr>
        <w:pStyle w:val="Heading2"/>
      </w:pPr>
      <w:r>
        <w:t>1. ÉCRAN D’ACCUEIL / TABLEAU DE BORD</w:t>
      </w:r>
    </w:p>
    <w:p>
      <w:pPr>
        <w:ind w:left="240"/>
      </w:pPr>
      <w:r>
        <w:rPr>
          <w:b/>
        </w:rPr>
        <w:t xml:space="preserve">• </w:t>
      </w:r>
      <w:r>
        <w:t>En-tête : EAGLE’S EYE OPTICS MEDICAL – GESTION DES PATIENTS</w:t>
      </w:r>
    </w:p>
    <w:p>
      <w:pPr>
        <w:ind w:left="240"/>
      </w:pPr>
      <w:r>
        <w:rPr>
          <w:b/>
        </w:rPr>
        <w:t xml:space="preserve">• </w:t>
      </w:r>
      <w:r>
        <w:t>Boutons : [ + NOUVEAU PATIENT ]  [ 🔍 RECHERCHER UN PATIENT ]  [ 📅 RENDEZ-VOUS ]  [ 📋 CONSULTATIONS DU JOUR ]  [ 📊 STATISTIQUES ]  [ ⚙ PARAMÈTRES ]</w:t>
      </w:r>
    </w:p>
    <w:p>
      <w:pPr>
        <w:ind w:left="240"/>
      </w:pPr>
      <w:r>
        <w:rPr>
          <w:b/>
        </w:rPr>
        <w:t xml:space="preserve">• </w:t>
      </w:r>
      <w:r>
        <w:t>Recherche rapide : Nom/prénom, téléphone ou numéro de dossier.</w:t>
      </w:r>
    </w:p>
    <w:p>
      <w:pPr>
        <w:pStyle w:val="Heading2"/>
      </w:pPr>
      <w:r>
        <w:t>2. CRÉATION DU PATIENT</w:t>
      </w:r>
    </w:p>
    <w:p>
      <w:pPr>
        <w:ind w:left="240"/>
      </w:pPr>
      <w:r>
        <w:rPr>
          <w:b/>
        </w:rPr>
        <w:t xml:space="preserve">• </w:t>
      </w:r>
      <w:r>
        <w:t>Numéro de dossier : généré automatiquement (ex. EE-2026-0001).</w:t>
      </w:r>
    </w:p>
    <w:p>
      <w:pPr>
        <w:ind w:left="240"/>
      </w:pPr>
      <w:r>
        <w:rPr>
          <w:b/>
        </w:rPr>
        <w:t xml:space="preserve">• </w:t>
      </w:r>
      <w:r>
        <w:t>Date de création : automatique.</w:t>
      </w:r>
    </w:p>
    <w:p>
      <w:pPr>
        <w:ind w:left="240"/>
      </w:pPr>
      <w:r>
        <w:rPr>
          <w:b/>
        </w:rPr>
        <w:t xml:space="preserve">• </w:t>
      </w:r>
      <w:r>
        <w:t>Nom ; Prénom(s) ; Sexe (Féminin/Masculin) ; Date de naissance ; Âge calculé automatiquement ; Téléphone ; Téléphone secondaire ; Adresse/quartier ; Profession.</w:t>
      </w:r>
    </w:p>
    <w:p>
      <w:pPr>
        <w:ind w:left="240"/>
      </w:pPr>
      <w:r>
        <w:rPr>
          <w:b/>
        </w:rPr>
        <w:t xml:space="preserve">• </w:t>
      </w:r>
      <w:r>
        <w:t>Boutons : [ ENREGISTRER LE PATIENT ] [ ANNULER ] [ + NOUVELLE CONSULTATION ]</w:t>
      </w:r>
    </w:p>
    <w:p>
      <w:pPr>
        <w:pStyle w:val="Heading2"/>
      </w:pPr>
      <w:r>
        <w:t>3. DOSSIER DU PATIENT</w:t>
      </w:r>
    </w:p>
    <w:p>
      <w:pPr>
        <w:ind w:left="240"/>
      </w:pPr>
      <w:r>
        <w:rPr>
          <w:b/>
        </w:rPr>
        <w:t xml:space="preserve">• </w:t>
      </w:r>
      <w:r>
        <w:t>En-tête : Nom, numéro de dossier, âge, téléphone.</w:t>
      </w:r>
    </w:p>
    <w:p>
      <w:pPr>
        <w:ind w:left="240"/>
      </w:pPr>
      <w:r>
        <w:rPr>
          <w:b/>
        </w:rPr>
        <w:t xml:space="preserve">• </w:t>
      </w:r>
      <w:r>
        <w:t>Onglets : [ IDENTITÉ ] [ CONSULTATION ] [ EXAMENS ] [ RÉFRACTION ] [ PRESCRIPTION ] [ SUIVI ] [ HISTORIQUE ]</w:t>
      </w:r>
    </w:p>
    <w:p>
      <w:pPr>
        <w:pStyle w:val="Heading2"/>
      </w:pPr>
      <w:r>
        <w:t>4. CONSULTATION</w:t>
      </w:r>
    </w:p>
    <w:p>
      <w:pPr>
        <w:ind w:left="240"/>
      </w:pPr>
      <w:r>
        <w:rPr>
          <w:b/>
        </w:rPr>
        <w:t xml:space="preserve">• </w:t>
      </w:r>
      <w:r>
        <w:t>Date et heure : automatiques, modifiables si nécessaire.</w:t>
      </w:r>
    </w:p>
    <w:p>
      <w:pPr>
        <w:ind w:left="240"/>
      </w:pPr>
      <w:r>
        <w:rPr>
          <w:b/>
        </w:rPr>
        <w:t xml:space="preserve">• </w:t>
      </w:r>
      <w:r>
        <w:t>Motif (menu déroulant, sélection multiple) : baisse de vision ; vision floue ; céphalées ; fatigue visuelle ; difficulté de loin ; difficulté de près ; renouvellement de lunettes ; contrôle de routine ; rougeur ; larmoiement ; démangeaisons ; douleur ; photophobie ; autre.</w:t>
      </w:r>
    </w:p>
    <w:p>
      <w:pPr>
        <w:ind w:left="240"/>
      </w:pPr>
      <w:r>
        <w:rPr>
          <w:b/>
        </w:rPr>
        <w:t xml:space="preserve">• </w:t>
      </w:r>
      <w:r>
        <w:t>Plaintes / symptômes : zone de texte libre.</w:t>
      </w:r>
    </w:p>
    <w:p>
      <w:pPr>
        <w:ind w:left="240"/>
      </w:pPr>
      <w:r>
        <w:rPr>
          <w:b/>
        </w:rPr>
        <w:t xml:space="preserve">• </w:t>
      </w:r>
      <w:r>
        <w:t>Porte actuellement des lunettes ? Oui / Non. Si Oui : depuis combien de temps ? Ancienne correction disponible ? Oui / Non.</w:t>
      </w:r>
    </w:p>
    <w:p>
      <w:pPr>
        <w:pStyle w:val="Heading2"/>
      </w:pPr>
      <w:r>
        <w:t>5. ANTÉCÉDENTS</w:t>
      </w:r>
    </w:p>
    <w:p>
      <w:pPr>
        <w:ind w:left="240"/>
      </w:pPr>
      <w:r>
        <w:rPr>
          <w:b/>
        </w:rPr>
        <w:t xml:space="preserve">• </w:t>
      </w:r>
      <w:r>
        <w:t>Antécédents oculaires : aucun connu ; traumatisme ; chirurgie ; glaucome ; cataracte ; infection ; lentilles ; autre.</w:t>
      </w:r>
    </w:p>
    <w:p>
      <w:pPr>
        <w:ind w:left="240"/>
      </w:pPr>
      <w:r>
        <w:rPr>
          <w:b/>
        </w:rPr>
        <w:t xml:space="preserve">• </w:t>
      </w:r>
      <w:r>
        <w:t>Antécédents médicaux : aucun connu ; diabète ; hypertension ; allergies ; traitement en cours ; autre.</w:t>
      </w:r>
    </w:p>
    <w:p>
      <w:pPr>
        <w:ind w:left="240"/>
      </w:pPr>
      <w:r>
        <w:rPr>
          <w:b/>
        </w:rPr>
        <w:t xml:space="preserve">• </w:t>
      </w:r>
      <w:r>
        <w:t>Antécédents familiaux oculaires : aucun connu ; glaucome ; cataracte ; forte myopie ; autre.</w:t>
      </w:r>
    </w:p>
    <w:p>
      <w:pPr>
        <w:pStyle w:val="Heading2"/>
      </w:pPr>
      <w:r>
        <w:t>6. EXAMENS PRÉLIMINAIRES</w:t>
      </w:r>
    </w:p>
    <w:p>
      <w:pPr>
        <w:ind w:left="240"/>
      </w:pPr>
      <w:r>
        <w:rPr>
          <w:b/>
        </w:rPr>
        <w:t xml:space="preserve">• </w:t>
      </w:r>
      <w:r>
        <w:t>Acuité visuelle de loin : OD/OG/OU, sans correction et avec correction.</w:t>
      </w:r>
    </w:p>
    <w:p>
      <w:pPr>
        <w:ind w:left="240"/>
      </w:pPr>
      <w:r>
        <w:rPr>
          <w:b/>
        </w:rPr>
        <w:t xml:space="preserve">• </w:t>
      </w:r>
      <w:r>
        <w:t>Acuité visuelle de près : OD/OG/OU, sans correction et avec correction.</w:t>
      </w:r>
    </w:p>
    <w:p>
      <w:pPr>
        <w:ind w:left="240"/>
      </w:pPr>
      <w:r>
        <w:rPr>
          <w:b/>
        </w:rPr>
        <w:t xml:space="preserve">• </w:t>
      </w:r>
      <w:r>
        <w:t>Prévoir saisie libre et/ou liste de valeurs selon l’échelle utilisée par le cabinet.</w:t>
      </w:r>
    </w:p>
    <w:p>
      <w:pPr>
        <w:ind w:left="240"/>
      </w:pPr>
      <w:r>
        <w:rPr>
          <w:b/>
        </w:rPr>
        <w:t xml:space="preserve">• </w:t>
      </w:r>
      <w:r>
        <w:t>Autorefractomètre : OD Sphère/Cylindre/Axe ; OG Sphère/Cylindre/Axe ; DP totale ou DP OD + DP OG.</w:t>
      </w:r>
    </w:p>
    <w:p>
      <w:pPr>
        <w:ind w:left="240"/>
      </w:pPr>
      <w:r>
        <w:rPr>
          <w:b/>
        </w:rPr>
        <w:t xml:space="preserve">• </w:t>
      </w:r>
      <w:r>
        <w:t>Boutons : [ ENREGISTRER LES EXAMENS ] [ PASSER À LA RÉFRACTION ]</w:t>
      </w:r>
    </w:p>
    <w:p>
      <w:pPr>
        <w:pStyle w:val="Heading2"/>
      </w:pPr>
      <w:r>
        <w:t>7. RÉFRACTION</w:t>
      </w:r>
    </w:p>
    <w:p>
      <w:pPr>
        <w:ind w:left="240"/>
      </w:pPr>
      <w:r>
        <w:rPr>
          <w:b/>
        </w:rPr>
        <w:t xml:space="preserve">• </w:t>
      </w:r>
      <w:r>
        <w:t>Réfraction objective : OD Sphère/Cylindre/Axe ; OG Sphère/Cylindre/Axe.</w:t>
      </w:r>
    </w:p>
    <w:p>
      <w:pPr>
        <w:ind w:left="240"/>
      </w:pPr>
      <w:r>
        <w:rPr>
          <w:b/>
        </w:rPr>
        <w:t xml:space="preserve">• </w:t>
      </w:r>
      <w:r>
        <w:t>Réfraction subjective : OD Sphère/Cylindre/Axe/Addition ; OG Sphère/Cylindre/Axe/Addition.</w:t>
      </w:r>
    </w:p>
    <w:p>
      <w:pPr>
        <w:ind w:left="240"/>
      </w:pPr>
      <w:r>
        <w:rPr>
          <w:b/>
        </w:rPr>
        <w:t xml:space="preserve">• </w:t>
      </w:r>
      <w:r>
        <w:t>Acuité visuelle après correction : OD, OG, OU.</w:t>
      </w:r>
    </w:p>
    <w:p>
      <w:pPr>
        <w:ind w:left="240"/>
      </w:pPr>
      <w:r>
        <w:rPr>
          <w:b/>
        </w:rPr>
        <w:t xml:space="preserve">• </w:t>
      </w:r>
      <w:r>
        <w:t>Type d’amétropie (cases à cocher) : emmétropie ; myopie ; hypermétropie ; astigmatisme ; presbytie ; anisométropie ; autre.</w:t>
      </w:r>
    </w:p>
    <w:p>
      <w:pPr>
        <w:ind w:left="240"/>
      </w:pPr>
      <w:r>
        <w:rPr>
          <w:b/>
        </w:rPr>
        <w:t xml:space="preserve">• </w:t>
      </w:r>
      <w:r>
        <w:t>Observations : zone de texte libre.</w:t>
      </w:r>
    </w:p>
    <w:p>
      <w:pPr>
        <w:pStyle w:val="Heading2"/>
      </w:pPr>
      <w:r>
        <w:t>8. CORRECTION OPTIQUE</w:t>
      </w:r>
    </w:p>
    <w:p>
      <w:pPr>
        <w:ind w:left="240"/>
      </w:pPr>
      <w:r>
        <w:rPr>
          <w:b/>
        </w:rPr>
        <w:t xml:space="preserve">• </w:t>
      </w:r>
      <w:r>
        <w:t>Type : vision de loin ; vision de près ; lunettes permanentes ; progressifs ; bifocaux ; lunettes de travail/ordinateur ; autre.</w:t>
      </w:r>
    </w:p>
    <w:p>
      <w:pPr>
        <w:ind w:left="240"/>
      </w:pPr>
      <w:r>
        <w:rPr>
          <w:b/>
        </w:rPr>
        <w:t xml:space="preserve">• </w:t>
      </w:r>
      <w:r>
        <w:t>Prescription : OD Sphère/Cylindre/Axe/Addition ; OG Sphère/Cylindre/Axe/Addition ; DP.</w:t>
      </w:r>
    </w:p>
    <w:p>
      <w:pPr>
        <w:ind w:left="240"/>
      </w:pPr>
      <w:r>
        <w:rPr>
          <w:b/>
        </w:rPr>
        <w:t xml:space="preserve">• </w:t>
      </w:r>
      <w:r>
        <w:t>Type de verre : unifocal ; bifocal ; progressif ; anti-fatigue ; autre.</w:t>
      </w:r>
    </w:p>
    <w:p>
      <w:pPr>
        <w:ind w:left="240"/>
      </w:pPr>
      <w:r>
        <w:rPr>
          <w:b/>
        </w:rPr>
        <w:t xml:space="preserve">• </w:t>
      </w:r>
      <w:r>
        <w:t>Indice : 1.50 ; 1.56 ; 1.59 ; 1.60 ; 1.67 ; 1.74 ; autre.</w:t>
      </w:r>
    </w:p>
    <w:p>
      <w:pPr>
        <w:ind w:left="240"/>
      </w:pPr>
      <w:r>
        <w:rPr>
          <w:b/>
        </w:rPr>
        <w:t xml:space="preserve">• </w:t>
      </w:r>
      <w:r>
        <w:t>Traitements (cases à cocher) : anti-reflet ; photochromique ; UV ; filtre lumière bleue ; durci/anti-rayures ; teinté ; autre.</w:t>
      </w:r>
    </w:p>
    <w:p>
      <w:pPr>
        <w:ind w:left="240"/>
      </w:pPr>
      <w:r>
        <w:rPr>
          <w:b/>
        </w:rPr>
        <w:t xml:space="preserve">• </w:t>
      </w:r>
      <w:r>
        <w:t>Boutons : [ ENREGISTRER LA CORRECTION ] [ IMPRIMER LA PRESCRIPTION OPTIQUE ]</w:t>
      </w:r>
    </w:p>
    <w:p>
      <w:pPr>
        <w:pStyle w:val="Heading2"/>
      </w:pPr>
      <w:r>
        <w:t>9. MÉDICAMENTS / COLLYRES</w:t>
      </w:r>
    </w:p>
    <w:p>
      <w:pPr>
        <w:ind w:left="240"/>
      </w:pPr>
      <w:r>
        <w:rPr>
          <w:b/>
        </w:rPr>
        <w:t xml:space="preserve">• </w:t>
      </w:r>
      <w:r>
        <w:t>Bouton [ + AJOUTER UN MÉDICAMENT ].</w:t>
      </w:r>
    </w:p>
    <w:p>
      <w:pPr>
        <w:ind w:left="240"/>
      </w:pPr>
      <w:r>
        <w:rPr>
          <w:b/>
        </w:rPr>
        <w:t xml:space="preserve">• </w:t>
      </w:r>
      <w:r>
        <w:t>Pour chaque produit : nom ; forme (collyre/pommade/comprimé/autre) ; dosage/concentration ; posologie ; fréquence ; durée ; instructions.</w:t>
      </w:r>
    </w:p>
    <w:p>
      <w:pPr>
        <w:ind w:left="240"/>
      </w:pPr>
      <w:r>
        <w:rPr>
          <w:b/>
        </w:rPr>
        <w:t xml:space="preserve">• </w:t>
      </w:r>
      <w:r>
        <w:t>Boutons : [ + AJOUTER UN AUTRE MÉDICAMENT ] [ ENREGISTRER ]</w:t>
      </w:r>
    </w:p>
    <w:p>
      <w:pPr>
        <w:pStyle w:val="Heading2"/>
      </w:pPr>
      <w:r>
        <w:t>10. CONCLUSION / ORIENTATION</w:t>
      </w:r>
    </w:p>
    <w:p>
      <w:pPr>
        <w:ind w:left="240"/>
      </w:pPr>
      <w:r>
        <w:rPr>
          <w:b/>
        </w:rPr>
        <w:t xml:space="preserve">• </w:t>
      </w:r>
      <w:r>
        <w:t>Conclusion : zone de texte libre.</w:t>
      </w:r>
    </w:p>
    <w:p>
      <w:pPr>
        <w:ind w:left="240"/>
      </w:pPr>
      <w:r>
        <w:rPr>
          <w:b/>
        </w:rPr>
        <w:t xml:space="preserve">• </w:t>
      </w:r>
      <w:r>
        <w:t>Orientation vers ophtalmologiste : Oui / Non.</w:t>
      </w:r>
    </w:p>
    <w:p>
      <w:pPr>
        <w:ind w:left="240"/>
      </w:pPr>
      <w:r>
        <w:rPr>
          <w:b/>
        </w:rPr>
        <w:t xml:space="preserve">• </w:t>
      </w:r>
      <w:r>
        <w:t>Motif : suspicion de glaucome ; cataracte ; baisse d’acuité inexpliquée ; pathologie cornéenne ; œil rouge/inflammation ; traumatisme ; pathologie rétinienne suspectée ; autre.</w:t>
      </w:r>
    </w:p>
    <w:p>
      <w:pPr>
        <w:ind w:left="240"/>
      </w:pPr>
      <w:r>
        <w:rPr>
          <w:b/>
        </w:rPr>
        <w:t xml:space="preserve">• </w:t>
      </w:r>
      <w:r>
        <w:t>Niveau : pas urgent ; consultation recommandée ; consultation rapide ; urgence.</w:t>
      </w:r>
    </w:p>
    <w:p>
      <w:pPr>
        <w:pStyle w:val="Heading2"/>
      </w:pPr>
      <w:r>
        <w:t>11. RENDEZ-VOUS / SUIVI</w:t>
      </w:r>
    </w:p>
    <w:p>
      <w:pPr>
        <w:ind w:left="240"/>
      </w:pPr>
      <w:r>
        <w:rPr>
          <w:b/>
        </w:rPr>
        <w:t xml:space="preserve">• </w:t>
      </w:r>
      <w:r>
        <w:t>Prochain contrôle : 3 mois ; 6 mois ; 1 an ; 2 ans ; autre.</w:t>
      </w:r>
    </w:p>
    <w:p>
      <w:pPr>
        <w:ind w:left="240"/>
      </w:pPr>
      <w:r>
        <w:rPr>
          <w:b/>
        </w:rPr>
        <w:t xml:space="preserve">• </w:t>
      </w:r>
      <w:r>
        <w:t>Date exacte calculée automatiquement selon le choix.</w:t>
      </w:r>
    </w:p>
    <w:p>
      <w:pPr>
        <w:ind w:left="240"/>
      </w:pPr>
      <w:r>
        <w:rPr>
          <w:b/>
        </w:rPr>
        <w:t xml:space="preserve">• </w:t>
      </w:r>
      <w:r>
        <w:t>Rappel : activé/désactivé ; SMS ; WhatsApp ; notification interne ; 1 jour, 3 jours, 7 jours ou 1 mois avant.</w:t>
      </w:r>
    </w:p>
    <w:p>
      <w:pPr>
        <w:ind w:left="240"/>
      </w:pPr>
      <w:r>
        <w:rPr>
          <w:b/>
        </w:rPr>
        <w:t xml:space="preserve">• </w:t>
      </w:r>
      <w:r>
        <w:t>Observations : zone de texte libre.</w:t>
      </w:r>
    </w:p>
    <w:p>
      <w:pPr>
        <w:ind w:left="240"/>
      </w:pPr>
      <w:r>
        <w:rPr>
          <w:b/>
        </w:rPr>
        <w:t xml:space="preserve">• </w:t>
      </w:r>
      <w:r>
        <w:t>Boutons : [ ENREGISTRER LE RENDEZ-VOUS ] [ TERMINER LA CONSULTATION ]</w:t>
      </w:r>
    </w:p>
    <w:p>
      <w:pPr>
        <w:pStyle w:val="Heading2"/>
      </w:pPr>
      <w:r>
        <w:t>12. HISTORIQUE DU PATIENT</w:t>
      </w:r>
    </w:p>
    <w:p>
      <w:pPr>
        <w:ind w:left="240"/>
      </w:pPr>
      <w:r>
        <w:rPr>
          <w:b/>
        </w:rPr>
        <w:t xml:space="preserve">• </w:t>
      </w:r>
      <w:r>
        <w:t>Afficher toutes les consultations antérieures avec date, motif, acuité visuelle, réfraction, correction, traitement, conclusion et prochain contrôle.</w:t>
      </w:r>
    </w:p>
    <w:p>
      <w:pPr>
        <w:ind w:left="240"/>
      </w:pPr>
      <w:r>
        <w:rPr>
          <w:b/>
        </w:rPr>
        <w:t xml:space="preserve">• </w:t>
      </w:r>
      <w:r>
        <w:t>Bouton [ VOIR LA CONSULTATION ] pour chaque entrée.</w:t>
      </w:r>
    </w:p>
    <w:p>
      <w:pPr>
        <w:ind w:left="240"/>
      </w:pPr>
      <w:r>
        <w:rPr>
          <w:b/>
        </w:rPr>
        <w:t xml:space="preserve">• </w:t>
      </w:r>
      <w:r>
        <w:t>Les nouvelles consultations ne doivent jamais écraser les anciennes.</w:t>
      </w:r>
    </w:p>
    <w:p>
      <w:pPr>
        <w:pStyle w:val="Heading2"/>
      </w:pPr>
      <w:r>
        <w:t>13. BOUTONS GÉNÉRAUX</w:t>
      </w:r>
    </w:p>
    <w:p>
      <w:pPr>
        <w:ind w:left="240"/>
      </w:pPr>
      <w:r>
        <w:rPr>
          <w:b/>
        </w:rPr>
        <w:t xml:space="preserve">• </w:t>
      </w:r>
      <w:r>
        <w:t>[ 💾 ENREGISTRER ] [ ✏ MODIFIER ] [ 🖨 IMPRIMER ] [ 📄 EXPORTER EN PDF ] [ 📅 PROGRAMMER UN RENDEZ-VOUS ] [ + NOUVELLE CONSULTATION ] [ ← RETOUR AU DOSSIER PATIENT ]</w:t>
      </w:r>
    </w:p>
    <w:p>
      <w:pPr>
        <w:pStyle w:val="Heading2"/>
      </w:pPr>
      <w:r>
        <w:t>14. STATUT DE LA CONSULTATION</w:t>
      </w:r>
    </w:p>
    <w:p>
      <w:pPr>
        <w:ind w:left="240"/>
      </w:pPr>
      <w:r>
        <w:rPr>
          <w:b/>
        </w:rPr>
        <w:t xml:space="preserve">• </w:t>
      </w:r>
      <w:r>
        <w:t>Menu : En cours ; Terminée ; À revoir ; Orienté vers ophtalmologiste ; Rendez-vous programmé.</w:t>
      </w:r>
    </w:p>
    <w:p>
      <w:pPr>
        <w:pStyle w:val="Heading2"/>
      </w:pPr>
      <w:r>
        <w:t>15. TABLEAU DE BORD / STATISTIQUES</w:t>
      </w:r>
    </w:p>
    <w:p>
      <w:pPr>
        <w:ind w:left="240"/>
      </w:pPr>
      <w:r>
        <w:rPr>
          <w:b/>
        </w:rPr>
        <w:t xml:space="preserve">• </w:t>
      </w:r>
      <w:r>
        <w:t>Indicateurs : patients du jour ; nouveaux patients ; anciens patients ; rendez-vous du jour ; patients à revoir.</w:t>
      </w:r>
    </w:p>
    <w:p>
      <w:pPr>
        <w:ind w:left="240"/>
      </w:pPr>
      <w:r>
        <w:rPr>
          <w:b/>
        </w:rPr>
        <w:t xml:space="preserve">• </w:t>
      </w:r>
      <w:r>
        <w:t>Filtres : aujourd’hui ; cette semaine ; ce mois ; cette année.</w:t>
      </w:r>
    </w:p>
    <w:p>
      <w:pPr>
        <w:ind w:left="240"/>
      </w:pPr>
      <w:r>
        <w:rPr>
          <w:b/>
        </w:rPr>
        <w:t xml:space="preserve">• </w:t>
      </w:r>
      <w:r>
        <w:t>Statistiques : nombre de consultations ; nouveaux patients ; répartition femmes/hommes ; tranches d’âge ; principaux motifs ; prescriptions de lunettes ; orientations ; rendez-vous programmés.</w:t>
      </w:r>
    </w:p>
    <w:p>
      <w:pPr>
        <w:pStyle w:val="Heading2"/>
      </w:pPr>
      <w:r>
        <w:t>16. RÈGLE FONDAMENTALE DE STRUCTURATION</w:t>
      </w:r>
    </w:p>
    <w:p>
      <w:pPr>
        <w:ind w:left="240"/>
      </w:pPr>
      <w:r>
        <w:rPr>
          <w:b/>
        </w:rPr>
        <w:t xml:space="preserve">• </w:t>
      </w:r>
      <w:r>
        <w:t>Le logiciel doit distinguer le DOSSIER PATIENT et les CONSULTATIONS.</w:t>
      </w:r>
    </w:p>
    <w:p>
      <w:pPr>
        <w:ind w:left="240"/>
      </w:pPr>
      <w:r>
        <w:rPr>
          <w:b/>
        </w:rPr>
        <w:t xml:space="preserve">• </w:t>
      </w:r>
      <w:r>
        <w:t>Les informations d’identité sont enregistrées une seule fois.</w:t>
      </w:r>
    </w:p>
    <w:p>
      <w:pPr>
        <w:ind w:left="240"/>
      </w:pPr>
      <w:r>
        <w:rPr>
          <w:b/>
        </w:rPr>
        <w:t xml:space="preserve">• </w:t>
      </w:r>
      <w:r>
        <w:t>Chaque visite crée une nouvelle consultation rattachée au même patient.</w:t>
      </w:r>
    </w:p>
    <w:p>
      <w:pPr>
        <w:ind w:left="240"/>
      </w:pPr>
      <w:r>
        <w:rPr>
          <w:b/>
        </w:rPr>
        <w:t xml:space="preserve">• </w:t>
      </w:r>
      <w:r>
        <w:t>Les anciennes données doivent rester accessibles et ne jamais être remplacées.</w:t>
      </w:r>
    </w:p>
    <w:p>
      <w:pPr>
        <w:pStyle w:val="Heading2"/>
      </w:pPr>
      <w:r>
        <w:t>17. SÉCURITÉ ET SAUVEGARDE</w:t>
      </w:r>
    </w:p>
    <w:p>
      <w:pPr>
        <w:ind w:left="240"/>
      </w:pPr>
      <w:r>
        <w:rPr>
          <w:b/>
        </w:rPr>
        <w:t xml:space="preserve">• </w:t>
      </w:r>
      <w:r>
        <w:t>Connexion par identifiant et mot de passe.</w:t>
      </w:r>
    </w:p>
    <w:p>
      <w:pPr>
        <w:ind w:left="240"/>
      </w:pPr>
      <w:r>
        <w:rPr>
          <w:b/>
        </w:rPr>
        <w:t xml:space="preserve">• </w:t>
      </w:r>
      <w:r>
        <w:t>Sauvegarde régulière et possibilité de restauration.</w:t>
      </w:r>
    </w:p>
    <w:p>
      <w:pPr>
        <w:ind w:left="240"/>
      </w:pPr>
      <w:r>
        <w:rPr>
          <w:b/>
        </w:rPr>
        <w:t xml:space="preserve">• </w:t>
      </w:r>
      <w:r>
        <w:t>Journal des modifications.</w:t>
      </w:r>
    </w:p>
    <w:p>
      <w:pPr>
        <w:ind w:left="240"/>
      </w:pPr>
      <w:r>
        <w:rPr>
          <w:b/>
        </w:rPr>
        <w:t xml:space="preserve">• </w:t>
      </w:r>
      <w:r>
        <w:t>Droits d’accès différents selon les profils : administrateur ; professionnel ; secrétaire/réception.</w:t>
      </w:r>
    </w:p>
    <w:p>
      <w:pPr>
        <w:pStyle w:val="Heading2"/>
      </w:pPr>
      <w:r>
        <w:t>18. ORGANISATION RECOMMANDÉE PENDANT LA CONSULTATION</w:t>
      </w:r>
    </w:p>
    <w:p>
      <w:pPr>
        <w:ind w:left="240"/>
      </w:pPr>
      <w:r>
        <w:rPr>
          <w:b/>
        </w:rPr>
        <w:t xml:space="preserve">• </w:t>
      </w:r>
      <w:r>
        <w:t>Étapes : 1 Motif → 2 Antécédents → 3 Acuité visuelle → 4 Autorefractomètre → 5 Réfraction → 6 Prescription → 7 Conclusion → 8 Rendez-vous.</w:t>
      </w:r>
    </w:p>
    <w:p>
      <w:pPr>
        <w:ind w:left="240"/>
      </w:pPr>
      <w:r>
        <w:rPr>
          <w:b/>
        </w:rPr>
        <w:t xml:space="preserve">• </w:t>
      </w:r>
      <w:r>
        <w:t>Boutons de navigation : [ ← PRÉCÉDENT ] [ ENREGISTRER ] [ SUIVANT → ].</w:t>
      </w:r>
    </w:p>
    <w:p>
      <w:pPr>
        <w:pStyle w:val="Heading2"/>
      </w:pPr>
      <w:r>
        <w:t>TABLEAU DE PRESCRIPTION OPTIQUE – FORMAT RECOMMANDÉ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Œil</w:t>
            </w:r>
          </w:p>
        </w:tc>
        <w:tc>
          <w:tcPr>
            <w:tcW w:type="dxa" w:w="1728"/>
          </w:tcPr>
          <w:p>
            <w:r>
              <w:t>Sphère</w:t>
            </w:r>
          </w:p>
        </w:tc>
        <w:tc>
          <w:tcPr>
            <w:tcW w:type="dxa" w:w="1728"/>
          </w:tcPr>
          <w:p>
            <w:r>
              <w:t>Cylindre</w:t>
            </w:r>
          </w:p>
        </w:tc>
        <w:tc>
          <w:tcPr>
            <w:tcW w:type="dxa" w:w="1728"/>
          </w:tcPr>
          <w:p>
            <w:r>
              <w:t>Axe</w:t>
            </w:r>
          </w:p>
        </w:tc>
        <w:tc>
          <w:tcPr>
            <w:tcW w:type="dxa" w:w="1728"/>
          </w:tcPr>
          <w:p>
            <w:r>
              <w:t>Addition</w:t>
            </w:r>
          </w:p>
        </w:tc>
      </w:tr>
      <w:tr>
        <w:tc>
          <w:tcPr>
            <w:tcW w:type="dxa" w:w="1728"/>
          </w:tcPr>
          <w:p>
            <w:r>
              <w:t>OD</w:t>
            </w:r>
          </w:p>
        </w:tc>
        <w:tc>
          <w:tcPr>
            <w:tcW w:type="dxa" w:w="1728"/>
          </w:tcPr>
          <w:p>
            <w:r>
              <w:t>[ ______ ]</w:t>
            </w:r>
          </w:p>
        </w:tc>
        <w:tc>
          <w:tcPr>
            <w:tcW w:type="dxa" w:w="1728"/>
          </w:tcPr>
          <w:p>
            <w:r>
              <w:t>[ ______ ]</w:t>
            </w:r>
          </w:p>
        </w:tc>
        <w:tc>
          <w:tcPr>
            <w:tcW w:type="dxa" w:w="1728"/>
          </w:tcPr>
          <w:p>
            <w:r>
              <w:t>[ ______ ]</w:t>
            </w:r>
          </w:p>
        </w:tc>
        <w:tc>
          <w:tcPr>
            <w:tcW w:type="dxa" w:w="1728"/>
          </w:tcPr>
          <w:p>
            <w:r>
              <w:t>[ ______ ]</w:t>
            </w:r>
          </w:p>
        </w:tc>
      </w:tr>
      <w:tr>
        <w:tc>
          <w:tcPr>
            <w:tcW w:type="dxa" w:w="1728"/>
          </w:tcPr>
          <w:p>
            <w:r>
              <w:t>OG</w:t>
            </w:r>
          </w:p>
        </w:tc>
        <w:tc>
          <w:tcPr>
            <w:tcW w:type="dxa" w:w="1728"/>
          </w:tcPr>
          <w:p>
            <w:r>
              <w:t>[ ______ ]</w:t>
            </w:r>
          </w:p>
        </w:tc>
        <w:tc>
          <w:tcPr>
            <w:tcW w:type="dxa" w:w="1728"/>
          </w:tcPr>
          <w:p>
            <w:r>
              <w:t>[ ______ ]</w:t>
            </w:r>
          </w:p>
        </w:tc>
        <w:tc>
          <w:tcPr>
            <w:tcW w:type="dxa" w:w="1728"/>
          </w:tcPr>
          <w:p>
            <w:r>
              <w:t>[ ______ ]</w:t>
            </w:r>
          </w:p>
        </w:tc>
        <w:tc>
          <w:tcPr>
            <w:tcW w:type="dxa" w:w="1728"/>
          </w:tcPr>
          <w:p>
            <w:r>
              <w:t>[ ______ ]</w:t>
            </w:r>
          </w:p>
        </w:tc>
      </w:tr>
    </w:tbl>
    <w:p>
      <w:pPr>
        <w:pStyle w:val="Heading2"/>
      </w:pPr>
      <w:r>
        <w:t>ACUITÉ VISUELLE – FORMAT RECOMMANDÉ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Œil</w:t>
            </w:r>
          </w:p>
        </w:tc>
        <w:tc>
          <w:tcPr>
            <w:tcW w:type="dxa" w:w="2880"/>
          </w:tcPr>
          <w:p>
            <w:r>
              <w:t>Sans correction</w:t>
            </w:r>
          </w:p>
        </w:tc>
        <w:tc>
          <w:tcPr>
            <w:tcW w:type="dxa" w:w="2880"/>
          </w:tcPr>
          <w:p>
            <w:r>
              <w:t>Avec correction</w:t>
            </w:r>
          </w:p>
        </w:tc>
      </w:tr>
      <w:tr>
        <w:tc>
          <w:tcPr>
            <w:tcW w:type="dxa" w:w="2880"/>
          </w:tcPr>
          <w:p>
            <w:r>
              <w:t>OD</w:t>
            </w:r>
          </w:p>
        </w:tc>
        <w:tc>
          <w:tcPr>
            <w:tcW w:type="dxa" w:w="2880"/>
          </w:tcPr>
          <w:p>
            <w:r>
              <w:t>[ ______ ]</w:t>
            </w:r>
          </w:p>
        </w:tc>
        <w:tc>
          <w:tcPr>
            <w:tcW w:type="dxa" w:w="2880"/>
          </w:tcPr>
          <w:p>
            <w:r>
              <w:t>[ ______ ]</w:t>
            </w:r>
          </w:p>
        </w:tc>
      </w:tr>
      <w:tr>
        <w:tc>
          <w:tcPr>
            <w:tcW w:type="dxa" w:w="2880"/>
          </w:tcPr>
          <w:p>
            <w:r>
              <w:t>OG</w:t>
            </w:r>
          </w:p>
        </w:tc>
        <w:tc>
          <w:tcPr>
            <w:tcW w:type="dxa" w:w="2880"/>
          </w:tcPr>
          <w:p>
            <w:r>
              <w:t>[ ______ ]</w:t>
            </w:r>
          </w:p>
        </w:tc>
        <w:tc>
          <w:tcPr>
            <w:tcW w:type="dxa" w:w="2880"/>
          </w:tcPr>
          <w:p>
            <w:r>
              <w:t>[ ______ ]</w:t>
            </w:r>
          </w:p>
        </w:tc>
      </w:tr>
      <w:tr>
        <w:tc>
          <w:tcPr>
            <w:tcW w:type="dxa" w:w="2880"/>
          </w:tcPr>
          <w:p>
            <w:r>
              <w:t>OU</w:t>
            </w:r>
          </w:p>
        </w:tc>
        <w:tc>
          <w:tcPr>
            <w:tcW w:type="dxa" w:w="2880"/>
          </w:tcPr>
          <w:p>
            <w:r>
              <w:t>[ ______ ]</w:t>
            </w:r>
          </w:p>
        </w:tc>
        <w:tc>
          <w:tcPr>
            <w:tcW w:type="dxa" w:w="2880"/>
          </w:tcPr>
          <w:p>
            <w:r>
              <w:t>[ ______ ]</w:t>
            </w:r>
          </w:p>
        </w:tc>
      </w:tr>
    </w:tbl>
    <w:p/>
    <w:p>
      <w:r>
        <w:rPr>
          <w:b/>
        </w:rPr>
        <w:t xml:space="preserve">Recommandation : </w:t>
      </w:r>
      <w:r>
        <w:t>prévoir une interface simple, rapide à remplir pendant la consultation, avec historique complet du patient et possibilité d’imprimer/exporter les prescriptions.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