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2663190</wp:posOffset>
                </wp:positionH>
                <wp:positionV relativeFrom="paragraph">
                  <wp:posOffset>59691</wp:posOffset>
                </wp:positionV>
                <wp:extent cx="3200400" cy="1255236"/>
                <wp:effectExtent b="0" l="0" r="0" t="0"/>
                <wp:wrapNone/>
                <wp:docPr id="1" name=""/>
                <a:graphic>
                  <a:graphicData uri="http://schemas.microsoft.com/office/word/2010/wordprocessingShape">
                    <wps:wsp>
                      <wps:cNvSpPr/>
                      <wps:cNvPr id="2" name="Shape 2"/>
                      <wps:spPr>
                        <a:xfrm>
                          <a:off x="3759135" y="3171035"/>
                          <a:ext cx="3173730" cy="12179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C-3</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160101220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 05 </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Group No: 5</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2663190</wp:posOffset>
                </wp:positionH>
                <wp:positionV relativeFrom="paragraph">
                  <wp:posOffset>59691</wp:posOffset>
                </wp:positionV>
                <wp:extent cx="3200400" cy="1255236"/>
                <wp:effectExtent b="0" l="0" r="0" t="0"/>
                <wp:wrapNone/>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3200400" cy="1255236"/>
                        </a:xfrm>
                        <a:prstGeom prst="rect"/>
                        <a:ln/>
                      </pic:spPr>
                    </pic:pic>
                  </a:graphicData>
                </a:graphic>
              </wp:anchor>
            </w:drawing>
          </mc:Fallback>
        </mc:AlternateContent>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Chapter No:05 Prototype Implementation for the Mini-Project.</w:t>
            </w:r>
          </w:p>
        </w:tc>
      </w:tr>
    </w:tbl>
    <w:p w:rsidR="00000000" w:rsidDel="00000000" w:rsidP="00000000" w:rsidRDefault="00000000" w:rsidRPr="00000000" w14:paraId="0000000B">
      <w:pPr>
        <w:pBdr>
          <w:bottom w:color="000000" w:space="1" w:sz="12" w:val="single"/>
        </w:pBdr>
        <w:tabs>
          <w:tab w:val="left" w:leader="none" w:pos="93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tabs>
          <w:tab w:val="left" w:leader="none" w:pos="93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tabs>
          <w:tab w:val="left" w:leader="none" w:pos="9356"/>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0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0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CO3:  Implement and prototype creation for the specified application.</w:t>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w:t>
      </w:r>
    </w:p>
    <w:p w:rsidR="00000000" w:rsidDel="00000000" w:rsidP="00000000" w:rsidRDefault="00000000" w:rsidRPr="00000000" w14:paraId="0000001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4">
      <w:pP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[Students can mention websites/ books used in their project implementation]</w:t>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1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write up will expect students to prepare chapter no 5 in the format given below </w:t>
      </w:r>
    </w:p>
    <w:p w:rsidR="00000000" w:rsidDel="00000000" w:rsidP="00000000" w:rsidRDefault="00000000" w:rsidRPr="00000000" w14:paraId="0000001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Chapter 5</w:t>
      </w: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Implementation and Development of the Prototype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342900</wp:posOffset>
                </wp:positionV>
                <wp:extent cx="6435725" cy="1654175"/>
                <wp:effectExtent b="0" l="0" r="0" t="0"/>
                <wp:wrapNone/>
                <wp:docPr id="3" name=""/>
                <a:graphic>
                  <a:graphicData uri="http://schemas.microsoft.com/office/word/2010/wordprocessingShape">
                    <wps:wsp>
                      <wps:cNvSpPr/>
                      <wps:cNvPr id="4" name="Shape 4"/>
                      <wps:spPr>
                        <a:xfrm>
                          <a:off x="2132900" y="2957675"/>
                          <a:ext cx="6426200" cy="1644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This chapter details the implementation process of the proposed prototype/application, outlining the development environment, tools, and technologies utilized. It describes the step-by-step approach taken to transform the conceptual design into a functional system. The implementation methodology, including coding standards, frameworks, and system architecture, is discussed in detail. Key challenges encountered during development and their corresponding solutions are also highlighted. Finally, the chapter concludes with an overview of the system’s functionality and its readiness for testing and evaluation.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342900</wp:posOffset>
                </wp:positionV>
                <wp:extent cx="6435725" cy="1654175"/>
                <wp:effectExtent b="0" l="0" r="0" t="0"/>
                <wp:wrapNone/>
                <wp:docPr id="3"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6435725" cy="1654175"/>
                        </a:xfrm>
                        <a:prstGeom prst="rect"/>
                        <a:ln/>
                      </pic:spPr>
                    </pic:pic>
                  </a:graphicData>
                </a:graphic>
              </wp:anchor>
            </w:drawing>
          </mc:Fallback>
        </mc:AlternateContent>
      </w:r>
    </w:p>
    <w:p w:rsidR="00000000" w:rsidDel="00000000" w:rsidP="00000000" w:rsidRDefault="00000000" w:rsidRPr="00000000" w14:paraId="0000002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9">
      <w:pPr>
        <w:spacing w:after="0" w:lineRule="auto"/>
        <w:jc w:val="both"/>
        <w:rPr>
          <w:rFonts w:ascii="Times New Roman" w:cs="Times New Roman" w:eastAsia="Times New Roman" w:hAnsi="Times New Roman"/>
          <w:sz w:val="24"/>
          <w:szCs w:val="24"/>
          <w:highlight w:val="white"/>
        </w:rPr>
      </w:pPr>
      <w:hyperlink r:id="rId7">
        <w:r w:rsidDel="00000000" w:rsidR="00000000" w:rsidRPr="00000000">
          <w:rPr>
            <w:rFonts w:ascii="Times New Roman" w:cs="Times New Roman" w:eastAsia="Times New Roman" w:hAnsi="Times New Roman"/>
            <w:sz w:val="24"/>
            <w:szCs w:val="24"/>
            <w:highlight w:val="white"/>
            <w:rtl w:val="0"/>
          </w:rPr>
          <w:t xml:space="preserve">System Implementation</w:t>
        </w:r>
      </w:hyperlink>
      <w:r w:rsidDel="00000000" w:rsidR="00000000" w:rsidRPr="00000000">
        <w:rPr>
          <w:rFonts w:ascii="Times New Roman" w:cs="Times New Roman" w:eastAsia="Times New Roman" w:hAnsi="Times New Roman"/>
          <w:sz w:val="24"/>
          <w:szCs w:val="24"/>
          <w:highlight w:val="white"/>
          <w:rtl w:val="0"/>
        </w:rPr>
        <w:t xml:space="preserve"> uses the structure created during </w:t>
      </w:r>
      <w:hyperlink r:id="rId8">
        <w:r w:rsidDel="00000000" w:rsidR="00000000" w:rsidRPr="00000000">
          <w:rPr>
            <w:rFonts w:ascii="Times New Roman" w:cs="Times New Roman" w:eastAsia="Times New Roman" w:hAnsi="Times New Roman"/>
            <w:sz w:val="24"/>
            <w:szCs w:val="24"/>
            <w:highlight w:val="white"/>
            <w:rtl w:val="0"/>
          </w:rPr>
          <w:t xml:space="preserve">architectural design</w:t>
        </w:r>
      </w:hyperlink>
      <w:r w:rsidDel="00000000" w:rsidR="00000000" w:rsidRPr="00000000">
        <w:rPr>
          <w:rFonts w:ascii="Times New Roman" w:cs="Times New Roman" w:eastAsia="Times New Roman" w:hAnsi="Times New Roman"/>
          <w:sz w:val="24"/>
          <w:szCs w:val="24"/>
          <w:highlight w:val="white"/>
          <w:rtl w:val="0"/>
        </w:rPr>
        <w:t xml:space="preserve"> and the results of </w:t>
      </w:r>
      <w:hyperlink r:id="rId9">
        <w:r w:rsidDel="00000000" w:rsidR="00000000" w:rsidRPr="00000000">
          <w:rPr>
            <w:rFonts w:ascii="Times New Roman" w:cs="Times New Roman" w:eastAsia="Times New Roman" w:hAnsi="Times New Roman"/>
            <w:color w:val="000000"/>
            <w:sz w:val="24"/>
            <w:szCs w:val="24"/>
            <w:highlight w:val="white"/>
            <w:rtl w:val="0"/>
          </w:rPr>
          <w:t xml:space="preserve">system analysis</w:t>
        </w:r>
      </w:hyperlink>
      <w:r w:rsidDel="00000000" w:rsidR="00000000" w:rsidRPr="00000000">
        <w:rPr>
          <w:rFonts w:ascii="Times New Roman" w:cs="Times New Roman" w:eastAsia="Times New Roman" w:hAnsi="Times New Roman"/>
          <w:sz w:val="24"/>
          <w:szCs w:val="24"/>
          <w:highlight w:val="white"/>
          <w:rtl w:val="0"/>
        </w:rPr>
        <w:t xml:space="preserve"> to construct </w:t>
      </w:r>
      <w:hyperlink r:id="rId10">
        <w:r w:rsidDel="00000000" w:rsidR="00000000" w:rsidRPr="00000000">
          <w:rPr>
            <w:rFonts w:ascii="Times New Roman" w:cs="Times New Roman" w:eastAsia="Times New Roman" w:hAnsi="Times New Roman"/>
            <w:sz w:val="24"/>
            <w:szCs w:val="24"/>
            <w:highlight w:val="white"/>
            <w:rtl w:val="0"/>
          </w:rPr>
          <w:t xml:space="preserve">system elements</w:t>
        </w:r>
      </w:hyperlink>
      <w:r w:rsidDel="00000000" w:rsidR="00000000" w:rsidRPr="00000000">
        <w:rPr>
          <w:rFonts w:ascii="Times New Roman" w:cs="Times New Roman" w:eastAsia="Times New Roman" w:hAnsi="Times New Roman"/>
          <w:sz w:val="24"/>
          <w:szCs w:val="24"/>
          <w:highlight w:val="white"/>
          <w:rtl w:val="0"/>
        </w:rPr>
        <w:t xml:space="preserve"> that meet the </w:t>
      </w:r>
      <w:hyperlink r:id="rId11">
        <w:r w:rsidDel="00000000" w:rsidR="00000000" w:rsidRPr="00000000">
          <w:rPr>
            <w:rFonts w:ascii="Times New Roman" w:cs="Times New Roman" w:eastAsia="Times New Roman" w:hAnsi="Times New Roman"/>
            <w:sz w:val="24"/>
            <w:szCs w:val="24"/>
            <w:highlight w:val="white"/>
            <w:rtl w:val="0"/>
          </w:rPr>
          <w:t xml:space="preserve">stakeholder requirements</w:t>
        </w:r>
      </w:hyperlink>
      <w:r w:rsidDel="00000000" w:rsidR="00000000" w:rsidRPr="00000000">
        <w:rPr>
          <w:rFonts w:ascii="Times New Roman" w:cs="Times New Roman" w:eastAsia="Times New Roman" w:hAnsi="Times New Roman"/>
          <w:sz w:val="24"/>
          <w:szCs w:val="24"/>
          <w:highlight w:val="white"/>
          <w:rtl w:val="0"/>
        </w:rPr>
        <w:t xml:space="preserve"> and </w:t>
      </w:r>
      <w:hyperlink r:id="rId12">
        <w:r w:rsidDel="00000000" w:rsidR="00000000" w:rsidRPr="00000000">
          <w:rPr>
            <w:rFonts w:ascii="Times New Roman" w:cs="Times New Roman" w:eastAsia="Times New Roman" w:hAnsi="Times New Roman"/>
            <w:sz w:val="24"/>
            <w:szCs w:val="24"/>
            <w:highlight w:val="white"/>
            <w:rtl w:val="0"/>
          </w:rPr>
          <w:t xml:space="preserve">system requirements</w:t>
        </w:r>
      </w:hyperlink>
      <w:r w:rsidDel="00000000" w:rsidR="00000000" w:rsidRPr="00000000">
        <w:rPr>
          <w:rFonts w:ascii="Times New Roman" w:cs="Times New Roman" w:eastAsia="Times New Roman" w:hAnsi="Times New Roman"/>
          <w:sz w:val="24"/>
          <w:szCs w:val="24"/>
          <w:highlight w:val="white"/>
          <w:rtl w:val="0"/>
        </w:rPr>
        <w:t xml:space="preserve"> developed in the early </w:t>
      </w:r>
      <w:hyperlink r:id="rId13">
        <w:r w:rsidDel="00000000" w:rsidR="00000000" w:rsidRPr="00000000">
          <w:rPr>
            <w:rFonts w:ascii="Times New Roman" w:cs="Times New Roman" w:eastAsia="Times New Roman" w:hAnsi="Times New Roman"/>
            <w:sz w:val="24"/>
            <w:szCs w:val="24"/>
            <w:highlight w:val="white"/>
            <w:rtl w:val="0"/>
          </w:rPr>
          <w:t xml:space="preserve">life cycle</w:t>
        </w:r>
      </w:hyperlink>
      <w:r w:rsidDel="00000000" w:rsidR="00000000" w:rsidRPr="00000000">
        <w:rPr>
          <w:rFonts w:ascii="Times New Roman" w:cs="Times New Roman" w:eastAsia="Times New Roman" w:hAnsi="Times New Roman"/>
          <w:sz w:val="24"/>
          <w:szCs w:val="24"/>
          <w:highlight w:val="white"/>
          <w:rtl w:val="0"/>
        </w:rPr>
        <w:t xml:space="preserve"> phases. These system elements are then integrated to form intermediate </w:t>
      </w:r>
      <w:hyperlink r:id="rId14">
        <w:r w:rsidDel="00000000" w:rsidR="00000000" w:rsidRPr="00000000">
          <w:rPr>
            <w:rFonts w:ascii="Times New Roman" w:cs="Times New Roman" w:eastAsia="Times New Roman" w:hAnsi="Times New Roman"/>
            <w:sz w:val="24"/>
            <w:szCs w:val="24"/>
            <w:highlight w:val="white"/>
            <w:rtl w:val="0"/>
          </w:rPr>
          <w:t xml:space="preserve">aggregates</w:t>
        </w:r>
      </w:hyperlink>
      <w:r w:rsidDel="00000000" w:rsidR="00000000" w:rsidRPr="00000000">
        <w:rPr>
          <w:rFonts w:ascii="Times New Roman" w:cs="Times New Roman" w:eastAsia="Times New Roman" w:hAnsi="Times New Roman"/>
          <w:sz w:val="24"/>
          <w:szCs w:val="24"/>
          <w:highlight w:val="white"/>
          <w:rtl w:val="0"/>
        </w:rPr>
        <w:t xml:space="preserve"> and finally the complete </w:t>
      </w:r>
      <w:hyperlink r:id="rId15">
        <w:r w:rsidDel="00000000" w:rsidR="00000000" w:rsidRPr="00000000">
          <w:rPr>
            <w:rFonts w:ascii="Times New Roman" w:cs="Times New Roman" w:eastAsia="Times New Roman" w:hAnsi="Times New Roman"/>
            <w:sz w:val="24"/>
            <w:szCs w:val="24"/>
            <w:highlight w:val="white"/>
            <w:rtl w:val="0"/>
          </w:rPr>
          <w:t xml:space="preserve">system</w:t>
        </w:r>
      </w:hyperlink>
      <w:r w:rsidDel="00000000" w:rsidR="00000000" w:rsidRPr="00000000">
        <w:rPr>
          <w:rtl w:val="0"/>
        </w:rPr>
      </w:r>
    </w:p>
    <w:p w:rsidR="00000000" w:rsidDel="00000000" w:rsidP="00000000" w:rsidRDefault="00000000" w:rsidRPr="00000000" w14:paraId="0000003A">
      <w:pPr>
        <w:spacing w:after="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implementation and prototyping document should be presented with a description of following steps.</w:t>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Modules Description: </w:t>
      </w:r>
    </w:p>
    <w:p w:rsidR="00000000" w:rsidDel="00000000" w:rsidP="00000000" w:rsidRDefault="00000000" w:rsidRPr="00000000" w14:paraId="0000003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input-output, properties, scenarios of important modules in the code in the given format.</w:t>
      </w:r>
    </w:p>
    <w:tbl>
      <w:tblPr>
        <w:tblStyle w:val="Table2"/>
        <w:tblW w:w="8751.0" w:type="dxa"/>
        <w:jc w:val="left"/>
        <w:tblInd w:w="-150.0" w:type="dxa"/>
        <w:tblBorders>
          <w:top w:color="2c608c" w:space="0" w:sz="6" w:val="single"/>
          <w:left w:color="2c608c" w:space="0" w:sz="6" w:val="single"/>
          <w:bottom w:color="2c608c" w:space="0" w:sz="6" w:val="single"/>
          <w:right w:color="2c608c" w:space="0" w:sz="6" w:val="single"/>
        </w:tblBorders>
        <w:tblLayout w:type="fixed"/>
        <w:tblLook w:val="0400"/>
      </w:tblPr>
      <w:tblGrid>
        <w:gridCol w:w="1035"/>
        <w:gridCol w:w="7716"/>
        <w:tblGridChange w:id="0">
          <w:tblGrid>
            <w:gridCol w:w="1035"/>
            <w:gridCol w:w="7716"/>
          </w:tblGrid>
        </w:tblGridChange>
      </w:tblGrid>
      <w:tr>
        <w:trPr>
          <w:cantSplit w:val="0"/>
          <w:tblHeader w:val="0"/>
        </w:trPr>
        <w:tc>
          <w:tcPr>
            <w:tcBorders>
              <w:top w:color="2c608c" w:space="0" w:sz="6" w:val="single"/>
              <w:left w:color="2c608c" w:space="0" w:sz="6" w:val="single"/>
              <w:bottom w:color="2c608c" w:space="0" w:sz="6" w:val="single"/>
              <w:right w:color="2c608c" w:space="0" w:sz="6" w:val="single"/>
            </w:tcBorders>
            <w:shd w:fill="2c608c" w:val="clear"/>
            <w:tcMar>
              <w:top w:w="75.0" w:type="dxa"/>
              <w:left w:w="150.0" w:type="dxa"/>
              <w:bottom w:w="75.0" w:type="dxa"/>
              <w:right w:w="150.0" w:type="dxa"/>
            </w:tcMar>
          </w:tcPr>
          <w:p w:rsidR="00000000" w:rsidDel="00000000" w:rsidP="00000000" w:rsidRDefault="00000000" w:rsidRPr="00000000" w14:paraId="0000003E">
            <w:pPr>
              <w:spacing w:after="0" w:line="240" w:lineRule="auto"/>
              <w:jc w:val="center"/>
              <w:rPr>
                <w:rFonts w:ascii="Arial" w:cs="Arial" w:eastAsia="Arial" w:hAnsi="Arial"/>
                <w:b w:val="1"/>
                <w:color w:val="ffffff"/>
                <w:sz w:val="21"/>
                <w:szCs w:val="21"/>
              </w:rPr>
            </w:pPr>
            <w:r w:rsidDel="00000000" w:rsidR="00000000" w:rsidRPr="00000000">
              <w:rPr>
                <w:rFonts w:ascii="Arial" w:cs="Arial" w:eastAsia="Arial" w:hAnsi="Arial"/>
                <w:b w:val="1"/>
                <w:color w:val="ffffff"/>
                <w:sz w:val="21"/>
                <w:szCs w:val="21"/>
                <w:rtl w:val="0"/>
              </w:rPr>
              <w:t xml:space="preserve">Module</w:t>
            </w:r>
          </w:p>
        </w:tc>
        <w:tc>
          <w:tcPr>
            <w:tcBorders>
              <w:top w:color="2c608c" w:space="0" w:sz="6" w:val="single"/>
              <w:left w:color="2c608c" w:space="0" w:sz="6" w:val="single"/>
              <w:bottom w:color="2c608c" w:space="0" w:sz="6" w:val="single"/>
              <w:right w:color="2c608c" w:space="0" w:sz="6" w:val="single"/>
            </w:tcBorders>
            <w:shd w:fill="2c608c" w:val="clear"/>
            <w:tcMar>
              <w:top w:w="75.0" w:type="dxa"/>
              <w:left w:w="150.0" w:type="dxa"/>
              <w:bottom w:w="75.0" w:type="dxa"/>
              <w:right w:w="150.0" w:type="dxa"/>
            </w:tcMar>
          </w:tcPr>
          <w:p w:rsidR="00000000" w:rsidDel="00000000" w:rsidP="00000000" w:rsidRDefault="00000000" w:rsidRPr="00000000" w14:paraId="0000003F">
            <w:pPr>
              <w:spacing w:after="0" w:line="240" w:lineRule="auto"/>
              <w:jc w:val="center"/>
              <w:rPr>
                <w:rFonts w:ascii="Arial" w:cs="Arial" w:eastAsia="Arial" w:hAnsi="Arial"/>
                <w:b w:val="1"/>
                <w:color w:val="ffffff"/>
                <w:sz w:val="21"/>
                <w:szCs w:val="21"/>
              </w:rPr>
            </w:pPr>
            <w:r w:rsidDel="00000000" w:rsidR="00000000" w:rsidRPr="00000000">
              <w:rPr>
                <w:rFonts w:ascii="Arial" w:cs="Arial" w:eastAsia="Arial" w:hAnsi="Arial"/>
                <w:b w:val="1"/>
                <w:color w:val="ffffff"/>
                <w:sz w:val="21"/>
                <w:szCs w:val="21"/>
                <w:rtl w:val="0"/>
              </w:rPr>
              <w:t xml:space="preserve">Name, Definition, purpose</w:t>
            </w:r>
          </w:p>
        </w:tc>
      </w:tr>
      <w:tr>
        <w:trPr>
          <w:cantSplit w:val="0"/>
          <w:tblHeader w:val="0"/>
        </w:trPr>
        <w:tc>
          <w:tcPr>
            <w:tcBorders>
              <w:top w:color="2c608c" w:space="0" w:sz="6" w:val="single"/>
              <w:left w:color="000000" w:space="0" w:sz="0" w:val="nil"/>
              <w:bottom w:color="2c608c" w:space="0" w:sz="6" w:val="single"/>
              <w:right w:color="2c608c" w:space="0" w:sz="6" w:val="single"/>
            </w:tcBorders>
            <w:shd w:fill="f4f4f4" w:val="clear"/>
            <w:tcMar>
              <w:top w:w="0.0" w:type="dxa"/>
              <w:left w:w="150.0" w:type="dxa"/>
              <w:bottom w:w="0.0" w:type="dxa"/>
              <w:right w:w="150.0" w:type="dxa"/>
            </w:tcMar>
          </w:tcPr>
          <w:p w:rsidR="00000000" w:rsidDel="00000000" w:rsidP="00000000" w:rsidRDefault="00000000" w:rsidRPr="00000000" w14:paraId="00000040">
            <w:pPr>
              <w:spacing w:after="0" w:line="240" w:lineRule="auto"/>
              <w:rPr>
                <w:rFonts w:ascii="Arial" w:cs="Arial" w:eastAsia="Arial" w:hAnsi="Arial"/>
                <w:i w:val="1"/>
                <w:color w:val="252525"/>
                <w:sz w:val="21"/>
                <w:szCs w:val="21"/>
              </w:rPr>
            </w:pPr>
            <w:r w:rsidDel="00000000" w:rsidR="00000000" w:rsidRPr="00000000">
              <w:rPr>
                <w:rFonts w:ascii="Arial" w:cs="Arial" w:eastAsia="Arial" w:hAnsi="Arial"/>
                <w:i w:val="1"/>
                <w:color w:val="252525"/>
                <w:sz w:val="21"/>
                <w:szCs w:val="21"/>
                <w:rtl w:val="0"/>
              </w:rPr>
              <w:t xml:space="preserve">Name</w:t>
            </w:r>
          </w:p>
        </w:tc>
        <w:tc>
          <w:tcPr>
            <w:tcBorders>
              <w:top w:color="2c608c" w:space="0" w:sz="6" w:val="single"/>
              <w:left w:color="2c608c" w:space="0" w:sz="6" w:val="single"/>
              <w:bottom w:color="2c608c" w:space="0" w:sz="6" w:val="single"/>
              <w:right w:color="000000" w:space="0" w:sz="0" w:val="nil"/>
            </w:tcBorders>
            <w:shd w:fill="f4f4f4" w:val="clear"/>
            <w:tcMar>
              <w:top w:w="0.0" w:type="dxa"/>
              <w:left w:w="150.0" w:type="dxa"/>
              <w:bottom w:w="0.0" w:type="dxa"/>
              <w:right w:w="150.0" w:type="dxa"/>
            </w:tcMar>
          </w:tcPr>
          <w:p w:rsidR="00000000" w:rsidDel="00000000" w:rsidP="00000000" w:rsidRDefault="00000000" w:rsidRPr="00000000" w14:paraId="00000041">
            <w:pPr>
              <w:spacing w:after="0" w:line="240" w:lineRule="auto"/>
              <w:rPr>
                <w:rFonts w:ascii="Arial" w:cs="Arial" w:eastAsia="Arial" w:hAnsi="Arial"/>
                <w:i w:val="1"/>
                <w:color w:val="252525"/>
                <w:sz w:val="21"/>
                <w:szCs w:val="21"/>
              </w:rPr>
            </w:pPr>
            <w:r w:rsidDel="00000000" w:rsidR="00000000" w:rsidRPr="00000000">
              <w:rPr>
                <w:rFonts w:ascii="Arial" w:cs="Arial" w:eastAsia="Arial" w:hAnsi="Arial"/>
                <w:i w:val="1"/>
                <w:color w:val="252525"/>
                <w:sz w:val="21"/>
                <w:szCs w:val="21"/>
                <w:rtl w:val="0"/>
              </w:rPr>
              <w:t xml:space="preserve">Definition:</w:t>
            </w:r>
          </w:p>
          <w:p w:rsidR="00000000" w:rsidDel="00000000" w:rsidP="00000000" w:rsidRDefault="00000000" w:rsidRPr="00000000" w14:paraId="00000042">
            <w:pPr>
              <w:spacing w:after="48" w:before="48" w:line="240" w:lineRule="auto"/>
              <w:rPr>
                <w:rFonts w:ascii="Arial" w:cs="Arial" w:eastAsia="Arial" w:hAnsi="Arial"/>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120" w:before="120" w:line="240" w:lineRule="auto"/>
              <w:rPr>
                <w:rFonts w:ascii="Arial" w:cs="Arial" w:eastAsia="Arial" w:hAnsi="Arial"/>
                <w:i w:val="1"/>
                <w:color w:val="252525"/>
                <w:sz w:val="21"/>
                <w:szCs w:val="21"/>
              </w:rPr>
            </w:pPr>
            <w:r w:rsidDel="00000000" w:rsidR="00000000" w:rsidRPr="00000000">
              <w:rPr>
                <w:rFonts w:ascii="Arial" w:cs="Arial" w:eastAsia="Arial" w:hAnsi="Arial"/>
                <w:i w:val="1"/>
                <w:color w:val="252525"/>
                <w:sz w:val="21"/>
                <w:szCs w:val="21"/>
                <w:rtl w:val="0"/>
              </w:rPr>
              <w:t xml:space="preserve">Purpose:[ Identifier, name, description, type (hardware, software application, software piece, mechanical part, electric art, electronic component, operator role, procedure, protocol, manual, etc.) ]</w:t>
            </w:r>
          </w:p>
        </w:tc>
      </w:tr>
    </w:tbl>
    <w:p w:rsidR="00000000" w:rsidDel="00000000" w:rsidP="00000000" w:rsidRDefault="00000000" w:rsidRPr="00000000" w14:paraId="00000044">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Activity: Here, team members will mention important modules coding details and input-output parameters of respective modules.</w:t>
      </w:r>
    </w:p>
    <w:p w:rsidR="00000000" w:rsidDel="00000000" w:rsidP="00000000" w:rsidRDefault="00000000" w:rsidRPr="00000000" w14:paraId="00000046">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Integration: </w:t>
      </w:r>
    </w:p>
    <w:p w:rsidR="00000000" w:rsidDel="00000000" w:rsidP="00000000" w:rsidRDefault="00000000" w:rsidRPr="00000000" w14:paraId="0000004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is a critical step within software implementation and it involves migrating data, compiling all modules in one system. With proper integrations, one can expect the project to be producing expected output.</w:t>
      </w:r>
    </w:p>
    <w:p w:rsidR="00000000" w:rsidDel="00000000" w:rsidP="00000000" w:rsidRDefault="00000000" w:rsidRPr="00000000" w14:paraId="00000048">
      <w:pPr>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Activity: Here, team members are required to document their integration strategy, mention about versions of module code if any, dependencies if any.</w:t>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 link (if applicable) with source/ Process of dataset selection with sample data along with data dictionary.</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 details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Style w:val="Heading3"/>
        <w:keepNext w:val="0"/>
        <w:spacing w:after="80" w:before="280" w:lineRule="auto"/>
        <w:ind w:left="0" w:firstLine="0"/>
        <w:jc w:val="both"/>
        <w:rPr>
          <w:rFonts w:ascii="Times New Roman" w:cs="Times New Roman" w:eastAsia="Times New Roman" w:hAnsi="Times New Roman"/>
          <w:sz w:val="24"/>
          <w:szCs w:val="24"/>
        </w:rPr>
      </w:pPr>
      <w:bookmarkStart w:colFirst="0" w:colLast="0" w:name="_g0ln78ygme39" w:id="0"/>
      <w:bookmarkEnd w:id="0"/>
      <w:r w:rsidDel="00000000" w:rsidR="00000000" w:rsidRPr="00000000">
        <w:rPr>
          <w:rFonts w:ascii="Times New Roman" w:cs="Times New Roman" w:eastAsia="Times New Roman" w:hAnsi="Times New Roman"/>
          <w:sz w:val="24"/>
          <w:szCs w:val="24"/>
          <w:rtl w:val="0"/>
        </w:rPr>
        <w:t xml:space="preserve">4.1 Frontend Implementation</w:t>
      </w:r>
    </w:p>
    <w:p w:rsidR="00000000" w:rsidDel="00000000" w:rsidP="00000000" w:rsidRDefault="00000000" w:rsidRPr="00000000" w14:paraId="0000004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is developed using React with TypeScript and enhanced using Vite for a faster and leaner development experience. It offers a responsive and intuitive user interface for all stakeholders — manufacturers, distributors, retailers, and consumers.</w:t>
      </w:r>
    </w:p>
    <w:p w:rsidR="00000000" w:rsidDel="00000000" w:rsidP="00000000" w:rsidRDefault="00000000" w:rsidRPr="00000000" w14:paraId="00000050">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RainbowKit is used for wallet connection and authentication.</w:t>
      </w:r>
    </w:p>
    <w:p w:rsidR="00000000" w:rsidDel="00000000" w:rsidP="00000000" w:rsidRDefault="00000000" w:rsidRPr="00000000" w14:paraId="00000051">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Wagmi is used to interact with Ethereum smart contracts directly from the frontend.</w:t>
      </w:r>
    </w:p>
    <w:p w:rsidR="00000000" w:rsidDel="00000000" w:rsidP="00000000" w:rsidRDefault="00000000" w:rsidRPr="00000000" w14:paraId="00000052">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apply for roles, register drugs, update drug status, and verify product authenticity.</w:t>
      </w:r>
    </w:p>
    <w:p w:rsidR="00000000" w:rsidDel="00000000" w:rsidP="00000000" w:rsidRDefault="00000000" w:rsidRPr="00000000" w14:paraId="00000053">
      <w:pPr>
        <w:pStyle w:val="Heading3"/>
        <w:keepNext w:val="0"/>
        <w:spacing w:after="80" w:before="280" w:lineRule="auto"/>
        <w:rPr>
          <w:rFonts w:ascii="Times New Roman" w:cs="Times New Roman" w:eastAsia="Times New Roman" w:hAnsi="Times New Roman"/>
          <w:sz w:val="24"/>
          <w:szCs w:val="24"/>
        </w:rPr>
      </w:pPr>
      <w:bookmarkStart w:colFirst="0" w:colLast="0" w:name="_9fdy4h2gs20p" w:id="1"/>
      <w:bookmarkEnd w:id="1"/>
      <w:r w:rsidDel="00000000" w:rsidR="00000000" w:rsidRPr="00000000">
        <w:rPr>
          <w:rFonts w:ascii="Times New Roman" w:cs="Times New Roman" w:eastAsia="Times New Roman" w:hAnsi="Times New Roman"/>
          <w:sz w:val="24"/>
          <w:szCs w:val="24"/>
          <w:rtl w:val="0"/>
        </w:rPr>
        <w:t xml:space="preserve">4.2 Backend Integration</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is built using Node.js and Apollo GraphQL Server. It handles off-chain logic such as:</w:t>
      </w:r>
    </w:p>
    <w:p w:rsidR="00000000" w:rsidDel="00000000" w:rsidP="00000000" w:rsidRDefault="00000000" w:rsidRPr="00000000" w14:paraId="00000055">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Validating user roles before allowing access.</w:t>
        <w:br w:type="textWrapping"/>
      </w:r>
    </w:p>
    <w:p w:rsidR="00000000" w:rsidDel="00000000" w:rsidP="00000000" w:rsidRDefault="00000000" w:rsidRPr="00000000" w14:paraId="0000005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metadata (like logs and analytics) in MongoDB.</w:t>
        <w:br w:type="textWrapping"/>
      </w:r>
    </w:p>
    <w:p w:rsidR="00000000" w:rsidDel="00000000" w:rsidP="00000000" w:rsidRDefault="00000000" w:rsidRPr="00000000" w14:paraId="00000057">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Serving GraphQL APIs to the frontend for role verification and transaction tracking.</w:t>
        <w:br w:type="textWrapping"/>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also communicates with smart contracts when users apply for roles or trigger drug-related transactions.</w:t>
      </w:r>
    </w:p>
    <w:p w:rsidR="00000000" w:rsidDel="00000000" w:rsidP="00000000" w:rsidRDefault="00000000" w:rsidRPr="00000000" w14:paraId="00000059">
      <w:pPr>
        <w:pStyle w:val="Heading3"/>
        <w:keepNext w:val="0"/>
        <w:spacing w:after="80" w:before="280" w:lineRule="auto"/>
        <w:rPr>
          <w:rFonts w:ascii="Times New Roman" w:cs="Times New Roman" w:eastAsia="Times New Roman" w:hAnsi="Times New Roman"/>
          <w:sz w:val="24"/>
          <w:szCs w:val="24"/>
        </w:rPr>
      </w:pPr>
      <w:bookmarkStart w:colFirst="0" w:colLast="0" w:name="_htk7dfcc5ad2" w:id="2"/>
      <w:bookmarkEnd w:id="2"/>
      <w:r w:rsidDel="00000000" w:rsidR="00000000" w:rsidRPr="00000000">
        <w:rPr>
          <w:rFonts w:ascii="Times New Roman" w:cs="Times New Roman" w:eastAsia="Times New Roman" w:hAnsi="Times New Roman"/>
          <w:sz w:val="24"/>
          <w:szCs w:val="24"/>
          <w:rtl w:val="0"/>
        </w:rPr>
        <w:t xml:space="preserve">4.3 Blockchain Integration</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blockchain component is built on the Ethereum Sepolia Testnet using Solidity smart contracts. Smart contracts manage:</w:t>
      </w:r>
    </w:p>
    <w:p w:rsidR="00000000" w:rsidDel="00000000" w:rsidP="00000000" w:rsidRDefault="00000000" w:rsidRPr="00000000" w14:paraId="0000005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assignment (manufacturer, distributor, etc.)</w:t>
        <w:br w:type="textWrapping"/>
      </w:r>
    </w:p>
    <w:p w:rsidR="00000000" w:rsidDel="00000000" w:rsidP="00000000" w:rsidRDefault="00000000" w:rsidRPr="00000000" w14:paraId="0000005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 registration</w:t>
        <w:br w:type="textWrapping"/>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updates during drug transfer</w:t>
        <w:br w:type="textWrapping"/>
      </w:r>
    </w:p>
    <w:p w:rsidR="00000000" w:rsidDel="00000000" w:rsidP="00000000" w:rsidRDefault="00000000" w:rsidRPr="00000000" w14:paraId="0000005E">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requests</w:t>
        <w:br w:type="textWrapping"/>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transaction is immutable and recorded on-chain, ensuring full traceability and transparency.</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contract functions were deployed using Remix IDE, and transactions are triggered from the frontend using Wagmi’s </w:t>
      </w:r>
      <w:r w:rsidDel="00000000" w:rsidR="00000000" w:rsidRPr="00000000">
        <w:rPr>
          <w:rFonts w:ascii="Times New Roman" w:cs="Times New Roman" w:eastAsia="Times New Roman" w:hAnsi="Times New Roman"/>
          <w:sz w:val="24"/>
          <w:szCs w:val="24"/>
          <w:rtl w:val="0"/>
        </w:rPr>
        <w:t xml:space="preserve">writeContract()</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61">
      <w:pPr>
        <w:pStyle w:val="Heading3"/>
        <w:keepNext w:val="0"/>
        <w:spacing w:after="80" w:before="280" w:lineRule="auto"/>
        <w:rPr>
          <w:rFonts w:ascii="Times New Roman" w:cs="Times New Roman" w:eastAsia="Times New Roman" w:hAnsi="Times New Roman"/>
          <w:sz w:val="24"/>
          <w:szCs w:val="24"/>
        </w:rPr>
      </w:pPr>
      <w:bookmarkStart w:colFirst="0" w:colLast="0" w:name="_uzmgg2nop4dp" w:id="3"/>
      <w:bookmarkEnd w:id="3"/>
      <w:r w:rsidDel="00000000" w:rsidR="00000000" w:rsidRPr="00000000">
        <w:rPr>
          <w:rFonts w:ascii="Times New Roman" w:cs="Times New Roman" w:eastAsia="Times New Roman" w:hAnsi="Times New Roman"/>
          <w:sz w:val="24"/>
          <w:szCs w:val="24"/>
          <w:rtl w:val="0"/>
        </w:rPr>
        <w:t xml:space="preserve">4.4 Data Flow and Transaction Lifecycle</w:t>
      </w:r>
    </w:p>
    <w:p w:rsidR="00000000" w:rsidDel="00000000" w:rsidP="00000000" w:rsidRDefault="00000000" w:rsidRPr="00000000" w14:paraId="00000062">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connects wallet → Wallet authentication is handled via RainbowKit.</w:t>
        <w:br w:type="textWrapping"/>
      </w:r>
    </w:p>
    <w:p w:rsidR="00000000" w:rsidDel="00000000" w:rsidP="00000000" w:rsidRDefault="00000000" w:rsidRPr="00000000" w14:paraId="00000063">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applies for a role → A GraphQL mutation is sent to the backend and passed to the blockchain to execute a smart contract that assigns the role.</w:t>
        <w:br w:type="textWrapping"/>
      </w:r>
    </w:p>
    <w:p w:rsidR="00000000" w:rsidDel="00000000" w:rsidP="00000000" w:rsidRDefault="00000000" w:rsidRPr="00000000" w14:paraId="00000064">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Authorized users register or update drug data → Smart contracts are called with relevant parameters (drug ID, location, status).</w:t>
        <w:br w:type="textWrapping"/>
      </w:r>
    </w:p>
    <w:p w:rsidR="00000000" w:rsidDel="00000000" w:rsidP="00000000" w:rsidRDefault="00000000" w:rsidRPr="00000000" w14:paraId="00000065">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Consumers verify authenticity → A </w:t>
      </w:r>
      <w:r w:rsidDel="00000000" w:rsidR="00000000" w:rsidRPr="00000000">
        <w:rPr>
          <w:rFonts w:ascii="Times New Roman" w:cs="Times New Roman" w:eastAsia="Times New Roman" w:hAnsi="Times New Roman"/>
          <w:sz w:val="24"/>
          <w:szCs w:val="24"/>
          <w:rtl w:val="0"/>
        </w:rPr>
        <w:t xml:space="preserve">readContract()</w:t>
      </w:r>
      <w:r w:rsidDel="00000000" w:rsidR="00000000" w:rsidRPr="00000000">
        <w:rPr>
          <w:rFonts w:ascii="Times New Roman" w:cs="Times New Roman" w:eastAsia="Times New Roman" w:hAnsi="Times New Roman"/>
          <w:sz w:val="24"/>
          <w:szCs w:val="24"/>
          <w:rtl w:val="0"/>
        </w:rPr>
        <w:t xml:space="preserve"> call fetches immutable history from the blockchain.</w:t>
        <w:br w:type="textWrapping"/>
      </w:r>
    </w:p>
    <w:p w:rsidR="00000000" w:rsidDel="00000000" w:rsidP="00000000" w:rsidRDefault="00000000" w:rsidRPr="00000000" w14:paraId="00000066">
      <w:pPr>
        <w:pStyle w:val="Heading3"/>
        <w:keepNext w:val="0"/>
        <w:spacing w:after="80" w:before="280" w:lineRule="auto"/>
        <w:rPr>
          <w:rFonts w:ascii="Times New Roman" w:cs="Times New Roman" w:eastAsia="Times New Roman" w:hAnsi="Times New Roman"/>
          <w:sz w:val="24"/>
          <w:szCs w:val="24"/>
        </w:rPr>
      </w:pPr>
      <w:bookmarkStart w:colFirst="0" w:colLast="0" w:name="_m6u32ac44s0h" w:id="4"/>
      <w:bookmarkEnd w:id="4"/>
      <w:r w:rsidDel="00000000" w:rsidR="00000000" w:rsidRPr="00000000">
        <w:rPr>
          <w:rFonts w:ascii="Times New Roman" w:cs="Times New Roman" w:eastAsia="Times New Roman" w:hAnsi="Times New Roman"/>
          <w:sz w:val="24"/>
          <w:szCs w:val="24"/>
          <w:rtl w:val="0"/>
        </w:rPr>
        <w:t xml:space="preserve">4.5 Storage and Decentralization</w:t>
      </w:r>
    </w:p>
    <w:p w:rsidR="00000000" w:rsidDel="00000000" w:rsidP="00000000" w:rsidRDefault="00000000" w:rsidRPr="00000000" w14:paraId="00000067">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critical drug tracking data is stored on-chain using Ethereum.</w:t>
        <w:br w:type="textWrapping"/>
      </w:r>
    </w:p>
    <w:p w:rsidR="00000000" w:rsidDel="00000000" w:rsidP="00000000" w:rsidRDefault="00000000" w:rsidRPr="00000000" w14:paraId="00000068">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Non-critical metadata and logs are stored in MongoDB.</w:t>
        <w:br w:type="textWrapping"/>
      </w:r>
    </w:p>
    <w:p w:rsidR="00000000" w:rsidDel="00000000" w:rsidP="00000000" w:rsidRDefault="00000000" w:rsidRPr="00000000" w14:paraId="00000069">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IPFS (optional) for storing large metadata like certificates or labels.</w:t>
        <w:br w:type="textWrapping"/>
      </w:r>
    </w:p>
    <w:p w:rsidR="00000000" w:rsidDel="00000000" w:rsidP="00000000" w:rsidRDefault="00000000" w:rsidRPr="00000000" w14:paraId="0000006A">
      <w:pPr>
        <w:pStyle w:val="Heading3"/>
        <w:keepNext w:val="0"/>
        <w:spacing w:after="80" w:before="280" w:lineRule="auto"/>
        <w:rPr>
          <w:rFonts w:ascii="Times New Roman" w:cs="Times New Roman" w:eastAsia="Times New Roman" w:hAnsi="Times New Roman"/>
          <w:sz w:val="24"/>
          <w:szCs w:val="24"/>
        </w:rPr>
      </w:pPr>
      <w:bookmarkStart w:colFirst="0" w:colLast="0" w:name="_savbbphh1k6o" w:id="5"/>
      <w:bookmarkEnd w:id="5"/>
      <w:r w:rsidDel="00000000" w:rsidR="00000000" w:rsidRPr="00000000">
        <w:rPr>
          <w:rFonts w:ascii="Times New Roman" w:cs="Times New Roman" w:eastAsia="Times New Roman" w:hAnsi="Times New Roman"/>
          <w:sz w:val="24"/>
          <w:szCs w:val="24"/>
          <w:rtl w:val="0"/>
        </w:rPr>
        <w:t xml:space="preserve">4.6 Security Measures</w:t>
      </w:r>
    </w:p>
    <w:p w:rsidR="00000000" w:rsidDel="00000000" w:rsidP="00000000" w:rsidRDefault="00000000" w:rsidRPr="00000000" w14:paraId="0000006B">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ensures only authorized users can perform specific actions.</w:t>
      </w:r>
    </w:p>
    <w:p w:rsidR="00000000" w:rsidDel="00000000" w:rsidP="00000000" w:rsidRDefault="00000000" w:rsidRPr="00000000" w14:paraId="0000006C">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Transactions are signed with the user's wallet, preventing spoofing.</w:t>
      </w:r>
    </w:p>
    <w:p w:rsidR="00000000" w:rsidDel="00000000" w:rsidP="00000000" w:rsidRDefault="00000000" w:rsidRPr="00000000" w14:paraId="0000006D">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Immutable ledger guarantees tamper-proof history for each drug batch.</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6"/>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Screenshots: Each team will present implemented module screenshots in accordance of process flow with small description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2"/>
        </w:numPr>
        <w:spacing w:after="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Wallet Connection </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connect their crypto wallets (e.g., MetaMask, RainbowKit) to access the application. Wallet authentication is required before accessing any role-based functionality.</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5212" cy="4698939"/>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75212" cy="469893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40000"/>
            <wp:effectExtent b="12700" l="12700" r="12700" t="1270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6544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40000"/>
            <wp:effectExtent b="12700" l="12700" r="12700" t="127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6544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2"/>
        </w:numP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 for Role</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wallet connection, users can apply for a specific role (Manufacturer, Distributor, Retailer, or Consumer). The request is sent to the backend and logged into the blockchain after verification.</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921000"/>
            <wp:effectExtent b="12700" l="12700" r="12700" t="1270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6544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2"/>
        </w:numP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Registration Form</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Manufacturers can input drug details including name, batch ID, manufacture date, and expiry. Once submitted, a smart contract is triggered to record the drug information immutably on the blockchain.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349500"/>
            <wp:effectExtent b="12700" l="12700" r="12700" t="1270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6544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2"/>
        </w:numP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Transfer Form</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Distributors and retailers can update the status of the drug. Each transaction is recorded on the Ethereum blockchain using smart contracts.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527300"/>
            <wp:effectExtent b="12700" l="12700" r="12700" t="1270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6544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2"/>
        </w:numPr>
        <w:spacing w:after="240" w:befor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Verification Page</w:t>
        <w:br w:type="textWrapping"/>
      </w:r>
      <w:r w:rsidDel="00000000" w:rsidR="00000000" w:rsidRPr="00000000">
        <w:rPr>
          <w:rFonts w:ascii="Times New Roman" w:cs="Times New Roman" w:eastAsia="Times New Roman" w:hAnsi="Times New Roman"/>
          <w:sz w:val="24"/>
          <w:szCs w:val="24"/>
          <w:rtl w:val="0"/>
        </w:rPr>
        <w:t xml:space="preserve">Consumers can scan or input a drug ID to verify its authenticity and trace its history through the supply chain. The system fetches data directly from the blockchain using </w:t>
      </w:r>
      <w:r w:rsidDel="00000000" w:rsidR="00000000" w:rsidRPr="00000000">
        <w:rPr>
          <w:rFonts w:ascii="Times New Roman" w:cs="Times New Roman" w:eastAsia="Times New Roman" w:hAnsi="Times New Roman"/>
          <w:sz w:val="24"/>
          <w:szCs w:val="24"/>
          <w:rtl w:val="0"/>
        </w:rPr>
        <w:t xml:space="preserve">readContract</w:t>
      </w:r>
      <w:r w:rsidDel="00000000" w:rsidR="00000000" w:rsidRPr="00000000">
        <w:rPr>
          <w:rFonts w:ascii="Times New Roman" w:cs="Times New Roman" w:eastAsia="Times New Roman" w:hAnsi="Times New Roman"/>
          <w:sz w:val="24"/>
          <w:szCs w:val="24"/>
          <w:rtl w:val="0"/>
        </w:rPr>
        <w:t xml:space="preserve"> via Wagmi.</w:t>
      </w:r>
    </w:p>
    <w:p w:rsidR="00000000" w:rsidDel="00000000" w:rsidP="00000000" w:rsidRDefault="00000000" w:rsidRPr="00000000" w14:paraId="00000092">
      <w:pPr>
        <w:spacing w:after="240" w:befor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4241800"/>
            <wp:effectExtent b="12700" l="12700" r="12700" t="1270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365440" cy="424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spacing w:after="240" w:before="24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All Batch Details</w:t>
      </w:r>
    </w:p>
    <w:p w:rsidR="00000000" w:rsidDel="00000000" w:rsidP="00000000" w:rsidRDefault="00000000" w:rsidRPr="00000000" w14:paraId="00000094">
      <w:pPr>
        <w:spacing w:after="240" w:befor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222500"/>
            <wp:effectExtent b="12700" l="12700" r="12700" t="1270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6544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Approval Dashboard (Admin)</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approve or reject role requests. This interface interacts with backend services which trigger role-setting smart contracts if approved.</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552700"/>
            <wp:effectExtent b="12700" l="12700" r="12700" t="1270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36544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Git link (Maintain Coding standards)</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Link</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https://github.com/MinavKaria/Pharma-SupplyChain-Blockchain.git</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Screenshot of contribution over repository</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95775" cy="203835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2957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Rule="auto"/>
        <w:jc w:val="both"/>
        <w:rPr>
          <w:rFonts w:ascii="Times New Roman" w:cs="Times New Roman" w:eastAsia="Times New Roman" w:hAnsi="Times New Roman"/>
          <w:b w:val="1"/>
          <w:sz w:val="24"/>
          <w:szCs w:val="24"/>
          <w:u w:val="single"/>
        </w:rPr>
      </w:pPr>
      <w:bookmarkStart w:colFirst="0" w:colLast="0" w:name="_dc51jo262do8" w:id="6"/>
      <w:bookmarkEnd w:id="6"/>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A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6839" w:w="11907" w:orient="portrait"/>
      <w:pgMar w:bottom="1440" w:top="1440" w:left="1728" w:right="1728" w:header="706" w:footer="7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pBdr>
        <w:top w:color="622423" w:space="1" w:sz="24" w:val="single"/>
        <w:left w:space="0" w:sz="0" w:val="nil"/>
        <w:bottom w:space="0" w:sz="0" w:val="nil"/>
        <w:right w:space="0" w:sz="0" w:val="nil"/>
        <w:between w:space="0" w:sz="0" w:val="nil"/>
      </w:pBdr>
      <w:tabs>
        <w:tab w:val="center" w:leader="none" w:pos="4680"/>
        <w:tab w:val="right" w:leader="none" w:pos="9360"/>
        <w:tab w:val="right" w:leader="none" w:pos="8451"/>
      </w:tabs>
      <w:spacing w:after="0" w:line="240" w:lineRule="auto"/>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Department of Computer Engineering (Mini Project)    2024-2025</w:t>
      <w:tab/>
      <w:t xml:space="preserve">Page </w:t>
    </w:r>
    <w:r w:rsidDel="00000000" w:rsidR="00000000" w:rsidRPr="00000000">
      <w:rPr>
        <w:rFonts w:ascii="Cambria" w:cs="Cambria" w:eastAsia="Cambria" w:hAnsi="Cambria"/>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pBdr>
        <w:top w:color="622423" w:space="1" w:sz="24" w:val="single"/>
        <w:left w:space="0" w:sz="0" w:val="nil"/>
        <w:bottom w:space="0" w:sz="0" w:val="nil"/>
        <w:right w:space="0" w:sz="0" w:val="nil"/>
        <w:between w:space="0" w:sz="0" w:val="nil"/>
      </w:pBdr>
      <w:tabs>
        <w:tab w:val="center" w:leader="none" w:pos="4680"/>
        <w:tab w:val="right" w:leader="none" w:pos="9360"/>
        <w:tab w:val="right" w:leader="none" w:pos="8451"/>
      </w:tabs>
      <w:spacing w:after="0" w:line="240" w:lineRule="auto"/>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Department of Computer Engineering (Mini Project)</w:t>
      <w:tab/>
      <w:t xml:space="preserve">                                      2024-2025                       Page </w:t>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-1038222</wp:posOffset>
          </wp:positionH>
          <wp:positionV relativeFrom="paragraph">
            <wp:posOffset>38100</wp:posOffset>
          </wp:positionV>
          <wp:extent cx="2143125" cy="730250"/>
          <wp:effectExtent b="0" l="0" r="0" t="0"/>
          <wp:wrapNone/>
          <wp:docPr id="6" name="image1.png"/>
          <a:graphic>
            <a:graphicData uri="http://schemas.openxmlformats.org/drawingml/2006/picture">
              <pic:pic>
                <pic:nvPicPr>
                  <pic:cNvPr id="0" name="image1.png"/>
                  <pic:cNvPicPr preferRelativeResize="0"/>
                </pic:nvPicPr>
                <pic:blipFill>
                  <a:blip r:embed="rId1"/>
                  <a:srcRect b="31851" l="0" r="0" t="34074"/>
                  <a:stretch>
                    <a:fillRect/>
                  </a:stretch>
                </pic:blipFill>
                <pic:spPr>
                  <a:xfrm>
                    <a:off x="0" y="0"/>
                    <a:ext cx="2143125" cy="730250"/>
                  </a:xfrm>
                  <a:prstGeom prst="rect"/>
                  <a:ln/>
                </pic:spPr>
              </pic:pic>
            </a:graphicData>
          </a:graphic>
        </wp:anchor>
      </w:drawing>
    </w:r>
  </w:p>
  <w:p w:rsidR="00000000" w:rsidDel="00000000" w:rsidP="00000000" w:rsidRDefault="00000000" w:rsidRPr="00000000" w14:paraId="000000A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K. J. Somaiya School of Engineering</w:t>
    </w:r>
    <w:r w:rsidDel="00000000" w:rsidR="00000000" w:rsidRPr="00000000">
      <w:rPr>
        <w:rtl w:val="0"/>
      </w:rPr>
    </w:r>
  </w:p>
  <w:p w:rsidR="00000000" w:rsidDel="00000000" w:rsidP="00000000" w:rsidRDefault="00000000" w:rsidRPr="00000000" w14:paraId="000000AA">
    <w:pPr>
      <w:spacing w:after="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rFonts w:ascii="Times New Roman" w:cs="Times New Roman" w:eastAsia="Times New Roman" w:hAnsi="Times New Roman"/>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680"/>
        <w:tab w:val="right" w:leader="none" w:pos="9360"/>
        <w:tab w:val="left" w:leader="none" w:pos="7125"/>
      </w:tabs>
      <w:spacing w:after="0" w:line="240" w:lineRule="auto"/>
      <w:jc w:val="center"/>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-1040127</wp:posOffset>
          </wp:positionH>
          <wp:positionV relativeFrom="paragraph">
            <wp:posOffset>-359407</wp:posOffset>
          </wp:positionV>
          <wp:extent cx="2143125" cy="730250"/>
          <wp:effectExtent b="0" l="0" r="0" t="0"/>
          <wp:wrapNone/>
          <wp:docPr id="12" name="image1.png"/>
          <a:graphic>
            <a:graphicData uri="http://schemas.openxmlformats.org/drawingml/2006/picture">
              <pic:pic>
                <pic:nvPicPr>
                  <pic:cNvPr id="0" name="image1.png"/>
                  <pic:cNvPicPr preferRelativeResize="0"/>
                </pic:nvPicPr>
                <pic:blipFill>
                  <a:blip r:embed="rId1"/>
                  <a:srcRect b="31851" l="0" r="0" t="34074"/>
                  <a:stretch>
                    <a:fillRect/>
                  </a:stretch>
                </pic:blipFill>
                <pic:spPr>
                  <a:xfrm>
                    <a:off x="0" y="0"/>
                    <a:ext cx="2143125" cy="7302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2" name=""/>
              <a:graphic>
                <a:graphicData uri="http://schemas.microsoft.com/office/word/2010/wordprocessingShape">
                  <wps:wsp>
                    <wps:cNvSpPr/>
                    <wps:cNvPr id="3" name="Shape 3"/>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2"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302895" cy="696595"/>
                      </a:xfrm>
                      <a:prstGeom prst="rect"/>
                      <a:ln/>
                    </pic:spPr>
                  </pic:pic>
                </a:graphicData>
              </a:graphic>
            </wp:anchor>
          </w:drawing>
        </mc:Fallback>
      </mc:AlternateContent>
    </w:r>
  </w:p>
  <w:bookmarkStart w:colFirst="0" w:colLast="0" w:name="by7igxjum6w" w:id="7"/>
  <w:bookmarkEnd w:id="7"/>
  <w:p w:rsidR="00000000" w:rsidDel="00000000" w:rsidP="00000000" w:rsidRDefault="00000000" w:rsidRPr="00000000" w14:paraId="000000AD">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K. J. Somaiya School of Engineering</w:t>
    </w:r>
    <w:r w:rsidDel="00000000" w:rsidR="00000000" w:rsidRPr="00000000">
      <w:rPr>
        <w:rtl w:val="0"/>
      </w:rPr>
    </w:r>
  </w:p>
  <w:p w:rsidR="00000000" w:rsidDel="00000000" w:rsidP="00000000" w:rsidRDefault="00000000" w:rsidRPr="00000000" w14:paraId="000000AE">
    <w:pPr>
      <w:spacing w:after="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240" w:lineRule="auto"/>
      <w:ind w:left="2880" w:hanging="720"/>
    </w:pPr>
    <w:rPr>
      <w:b w:val="1"/>
      <w:sz w:val="28"/>
      <w:szCs w:val="28"/>
    </w:rPr>
  </w:style>
  <w:style w:type="paragraph" w:styleId="Heading5">
    <w:name w:val="heading 5"/>
    <w:basedOn w:val="Normal"/>
    <w:next w:val="Normal"/>
    <w:pPr>
      <w:spacing w:after="60" w:before="240" w:line="240" w:lineRule="auto"/>
      <w:ind w:left="3600" w:hanging="720"/>
    </w:pPr>
    <w:rPr>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bokwiki.org/wiki/System_Analysis" TargetMode="External"/><Relationship Id="rId26" Type="http://schemas.openxmlformats.org/officeDocument/2006/relationships/image" Target="media/image11.png"/><Relationship Id="rId25" Type="http://schemas.openxmlformats.org/officeDocument/2006/relationships/hyperlink" Target="https://github.com/MinavKaria/Pharma-SupplyChain-Blockchain.git"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1.xml"/><Relationship Id="rId7" Type="http://schemas.openxmlformats.org/officeDocument/2006/relationships/hyperlink" Target="https://www.sebokwiki.org/wiki/Implementation_(glossary)" TargetMode="External"/><Relationship Id="rId8" Type="http://schemas.openxmlformats.org/officeDocument/2006/relationships/hyperlink" Target="https://www.sebokwiki.org/wiki/Architecting_(glossary)" TargetMode="External"/><Relationship Id="rId30" Type="http://schemas.openxmlformats.org/officeDocument/2006/relationships/footer" Target="footer2.xml"/><Relationship Id="rId11" Type="http://schemas.openxmlformats.org/officeDocument/2006/relationships/hyperlink" Target="https://www.sebokwiki.org/wiki/Stakeholder_Requirement_(glossary)" TargetMode="External"/><Relationship Id="rId10" Type="http://schemas.openxmlformats.org/officeDocument/2006/relationships/hyperlink" Target="https://www.sebokwiki.org/wiki/System_Element_(glossary)" TargetMode="External"/><Relationship Id="rId13" Type="http://schemas.openxmlformats.org/officeDocument/2006/relationships/hyperlink" Target="https://www.sebokwiki.org/wiki/Life_Cycle_(glossary)" TargetMode="External"/><Relationship Id="rId12" Type="http://schemas.openxmlformats.org/officeDocument/2006/relationships/hyperlink" Target="https://www.sebokwiki.org/wiki/System_Requirement_(glossary)" TargetMode="External"/><Relationship Id="rId15" Type="http://schemas.openxmlformats.org/officeDocument/2006/relationships/hyperlink" Target="https://www.sebokwiki.org/wiki/System-of-Interest_(glossary)" TargetMode="External"/><Relationship Id="rId14" Type="http://schemas.openxmlformats.org/officeDocument/2006/relationships/hyperlink" Target="https://www.sebokwiki.org/wiki/Aggregate_(glossary)" TargetMode="External"/><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5a64fbd90a5f7ad81d00a44dbeafdd487b1656b324e665543f250c6f076edb89</vt:lpwstr>
  </property>
</Properties>
</file>