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720" w:hanging="720"/>
        <w:jc w:val="center"/>
        <w:rPr>
          <w:rFonts w:ascii="Times New Roman" w:cs="Times New Roman" w:eastAsia="Times New Roman" w:hAnsi="Times New Roman"/>
          <w:b w:val="1"/>
          <w:sz w:val="28"/>
          <w:szCs w:val="28"/>
        </w:rPr>
      </w:pPr>
      <w:bookmarkStart w:colFirst="0" w:colLast="0" w:name="_p152h41dj3t6" w:id="0"/>
      <w:bookmarkEnd w:id="0"/>
      <w:r w:rsidDel="00000000" w:rsidR="00000000" w:rsidRPr="00000000">
        <w:rPr>
          <w:rFonts w:ascii="Times New Roman" w:cs="Times New Roman" w:eastAsia="Times New Roman" w:hAnsi="Times New Roman"/>
          <w:b w:val="1"/>
          <w:sz w:val="28"/>
          <w:szCs w:val="28"/>
          <w:rtl w:val="0"/>
        </w:rPr>
        <w:t xml:space="preserve">SuppliChain: A Blockchain-Based Decentralized Platform for Pharmaceutical Supply Chain Transparency and Counterfeit Drug Prevention</w:t>
      </w:r>
    </w:p>
    <w:p w:rsidR="00000000" w:rsidDel="00000000" w:rsidP="00000000" w:rsidRDefault="00000000" w:rsidRPr="00000000" w14:paraId="0000000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integrity of pharmaceutical supply chains is vital to global health, yet traditional systems are plagued by opacity, inefficiency, and vulnerability to counterfeiting. This paper introduces Pharma-SupplyChain-Blockchain, a blockchain-based decentralized application (DApp) that ensures secure, role-based traceability of pharmaceutical products. Leveraging Ethereum smart contracts, IPFS for decentralized document storage, and a React-GraphQL frontend, the system provides an end-to-end solution for managing and auditing drug distribution across manufacturers, distributors, retailers, and end-consumers. The solution addresses key challenges such as delayed verification, fragmented data systems, and manual role enforcement. Rigorous testing and real-user validation demonstrate improved transparency, data integrity, and ease of use. The system also aligns with Sustainable Development Goals (SDGs), including SDG 3 (Good Health and Well-being) by combating counterfeit drugs, and SDG 9 (Industry, Innovation, and Infrastructure) through the deployment of decentralized digital tools. This paper presents the system's architecture, methodology, implementation, testing outcomes, and future potential to serve as a blueprint for healthcare logistics transformation.</w:t>
      </w:r>
    </w:p>
    <w:p w:rsidR="00000000" w:rsidDel="00000000" w:rsidP="00000000" w:rsidRDefault="00000000" w:rsidRPr="00000000" w14:paraId="00000005">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rtl w:val="0"/>
        </w:rPr>
        <w:t xml:space="preserve"> Blockchain, Ethereum, Pharmaceutical Supply Chain, Smart Contracts, IPFS, Web3, GraphQL, React, Healthcare Transparency, Decentralized Applications, SDGs, Digital Traceability</w:t>
      </w: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&lt;H1&gt; </w:t>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Pharma-SupplyChain-Blockchain DApp is a purpose-built, end-to-end solution designed to bring unprecedented transparency, security, and accountability to the pharmaceutical supply chain. At its core, the application leverages the immutable, decentralized ledger of the Ethereum blockchain to record every critical transaction—from the moment a manufacturer produces a new batch of medication, through each handoff among distributors and retailers, all the way to the point of purchase by the end customer. By anchoring these events on-chain, the system eliminates the blind spots and single points of failure common in legacy, paper-based, or siloed digital systems.</w:t>
      </w:r>
    </w:p>
    <w:p w:rsidR="00000000" w:rsidDel="00000000" w:rsidP="00000000" w:rsidRDefault="00000000" w:rsidRPr="00000000" w14:paraId="0000000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first interaction, users connect their Ethereum-compatible wallet (e.g., MetaMask) via a polished React frontend. Each stakeholder—whether manufacturer, distributor, retailer, or consumer—begins life in the system with a default </w:t>
      </w:r>
      <w:r w:rsidDel="00000000" w:rsidR="00000000" w:rsidRPr="00000000">
        <w:rPr>
          <w:rFonts w:ascii="Times New Roman" w:cs="Times New Roman" w:eastAsia="Times New Roman" w:hAnsi="Times New Roman"/>
          <w:b w:val="1"/>
          <w:rtl w:val="0"/>
        </w:rPr>
        <w:t xml:space="preserve">Customer</w:t>
      </w:r>
      <w:r w:rsidDel="00000000" w:rsidR="00000000" w:rsidRPr="00000000">
        <w:rPr>
          <w:rFonts w:ascii="Times New Roman" w:cs="Times New Roman" w:eastAsia="Times New Roman" w:hAnsi="Times New Roman"/>
          <w:rtl w:val="0"/>
        </w:rPr>
        <w:t xml:space="preserve"> role. To assume greater responsibilities, users submit a role request that is vetted off-chain through a GraphQL API and MongoDB-backed admin dashboard. Once approved, the DApp’s smart contracts enforce role-based permissions automatically, ensuring that only authorized parties can create new batches or transfer custody.</w:t>
      </w:r>
    </w:p>
    <w:p w:rsidR="00000000" w:rsidDel="00000000" w:rsidP="00000000" w:rsidRDefault="00000000" w:rsidRPr="00000000" w14:paraId="0000000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manufacturer initiates a batch, they enter details such as product formula, expiration date, and storage condition. The DApp then uploads any heavy metadata (for example, certificates of analysis or packaging images) to IPFS, storing only the resulting cryptographic hash on-chain. This hybrid approach guarantees data integrity without incurring the high gas costs of storing large files on Ethereum. A </w:t>
      </w:r>
      <w:r w:rsidDel="00000000" w:rsidR="00000000" w:rsidRPr="00000000">
        <w:rPr>
          <w:rFonts w:ascii="Times New Roman" w:cs="Times New Roman" w:eastAsia="Times New Roman" w:hAnsi="Times New Roman"/>
          <w:b w:val="1"/>
          <w:rtl w:val="0"/>
        </w:rPr>
        <w:t xml:space="preserve">createBatch</w:t>
      </w:r>
      <w:r w:rsidDel="00000000" w:rsidR="00000000" w:rsidRPr="00000000">
        <w:rPr>
          <w:rFonts w:ascii="Times New Roman" w:cs="Times New Roman" w:eastAsia="Times New Roman" w:hAnsi="Times New Roman"/>
          <w:rtl w:val="0"/>
        </w:rPr>
        <w:t xml:space="preserve"> transaction records the IPFS hash, batch identifier, and initial quantity, while emitting a </w:t>
      </w:r>
      <w:r w:rsidDel="00000000" w:rsidR="00000000" w:rsidRPr="00000000">
        <w:rPr>
          <w:rFonts w:ascii="Times New Roman" w:cs="Times New Roman" w:eastAsia="Times New Roman" w:hAnsi="Times New Roman"/>
          <w:b w:val="1"/>
          <w:rtl w:val="0"/>
        </w:rPr>
        <w:t xml:space="preserve">BatchCreated</w:t>
      </w:r>
      <w:r w:rsidDel="00000000" w:rsidR="00000000" w:rsidRPr="00000000">
        <w:rPr>
          <w:rFonts w:ascii="Times New Roman" w:cs="Times New Roman" w:eastAsia="Times New Roman" w:hAnsi="Times New Roman"/>
          <w:rtl w:val="0"/>
        </w:rPr>
        <w:t xml:space="preserve"> event that the frontend listens for in real time.</w:t>
      </w:r>
    </w:p>
    <w:p w:rsidR="00000000" w:rsidDel="00000000" w:rsidP="00000000" w:rsidRDefault="00000000" w:rsidRPr="00000000" w14:paraId="0000000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Subsequent transfers—handled by distributors or retailers—are equally robust. Each </w:t>
      </w:r>
      <w:r w:rsidDel="00000000" w:rsidR="00000000" w:rsidRPr="00000000">
        <w:rPr>
          <w:rFonts w:ascii="Times New Roman" w:cs="Times New Roman" w:eastAsia="Times New Roman" w:hAnsi="Times New Roman"/>
          <w:b w:val="1"/>
          <w:rtl w:val="0"/>
        </w:rPr>
        <w:t xml:space="preserve">transferBatch</w:t>
      </w:r>
      <w:r w:rsidDel="00000000" w:rsidR="00000000" w:rsidRPr="00000000">
        <w:rPr>
          <w:rFonts w:ascii="Times New Roman" w:cs="Times New Roman" w:eastAsia="Times New Roman" w:hAnsi="Times New Roman"/>
          <w:rtl w:val="0"/>
        </w:rPr>
        <w:t xml:space="preserve"> call updates both the on-chain custody log and the batch’s quantity records, emitting a </w:t>
      </w:r>
      <w:r w:rsidDel="00000000" w:rsidR="00000000" w:rsidRPr="00000000">
        <w:rPr>
          <w:rFonts w:ascii="Times New Roman" w:cs="Times New Roman" w:eastAsia="Times New Roman" w:hAnsi="Times New Roman"/>
          <w:b w:val="1"/>
          <w:rtl w:val="0"/>
        </w:rPr>
        <w:t xml:space="preserve">BatchTransferred</w:t>
      </w:r>
      <w:r w:rsidDel="00000000" w:rsidR="00000000" w:rsidRPr="00000000">
        <w:rPr>
          <w:rFonts w:ascii="Times New Roman" w:cs="Times New Roman" w:eastAsia="Times New Roman" w:hAnsi="Times New Roman"/>
          <w:rtl w:val="0"/>
        </w:rPr>
        <w:t xml:space="preserve"> event. Because every transfer includes the sender’s and recipient’s addresses and roles, stakeholders and auditors can reconstruct the entire provenance of each medication unit at any moment by calling </w:t>
      </w:r>
      <w:r w:rsidDel="00000000" w:rsidR="00000000" w:rsidRPr="00000000">
        <w:rPr>
          <w:rFonts w:ascii="Times New Roman" w:cs="Times New Roman" w:eastAsia="Times New Roman" w:hAnsi="Times New Roman"/>
          <w:b w:val="1"/>
          <w:rtl w:val="0"/>
        </w:rPr>
        <w:t xml:space="preserve">getBatchDetails</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getTransfersByAddress</w:t>
      </w:r>
      <w:r w:rsidDel="00000000" w:rsidR="00000000" w:rsidRPr="00000000">
        <w:rPr>
          <w:rFonts w:ascii="Times New Roman" w:cs="Times New Roman" w:eastAsia="Times New Roman" w:hAnsi="Times New Roman"/>
          <w:rtl w:val="0"/>
        </w:rPr>
        <w:t xml:space="preserve">. Customers, too, can verify authenticity simply by entering a batch ID in the UI, viewing an immutable timeline of handoffs and environmental conditions.</w:t>
      </w:r>
    </w:p>
    <w:p w:rsidR="00000000" w:rsidDel="00000000" w:rsidP="00000000" w:rsidRDefault="00000000" w:rsidRPr="00000000" w14:paraId="0000000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technical side, the DApp’s backend uses Apollo Server with a GraphQL schema to handle off-chain workflows—role applications, document verification, and IPFS uploads—while MongoDB stores user profiles, application statuses, and audit logs. The frontend, built with Vite and TypeScript, integrates RainbowKit and Wagmi to streamline wallet connectivity, network switching, and gas-fee suggestions. Hardhat and Mocha/Chai underpin the smart-contract development pipeline, ensuring high test coverage and repeatable deployments.</w:t>
      </w:r>
    </w:p>
    <w:p w:rsidR="00000000" w:rsidDel="00000000" w:rsidP="00000000" w:rsidRDefault="00000000" w:rsidRPr="00000000" w14:paraId="0000000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By combining decentralized storage, automated on-chain governance, and a user-centric interface, Pharma-SupplyChain-Blockchain not only combats the scourge of counterfeit and mishandled drugs but also lays the groundwork for future enhancements. Whether integrating IoT-based temperature sensors, migrating high-volume transfers to Layer-2 networks, or opening governance via a DAO, this DApp represents a scalable blueprint for the next generation of secure, transparent healthcare logistics.</w:t>
      </w: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&lt;H1&gt; </w:t>
      </w: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0F">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Blockchain for Supply Chain Transparency</w:t>
      </w:r>
    </w:p>
    <w:p w:rsidR="00000000" w:rsidDel="00000000" w:rsidP="00000000" w:rsidRDefault="00000000" w:rsidRPr="00000000" w14:paraId="0000001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rtl w:val="0"/>
        </w:rPr>
        <w:t xml:space="preserve">Tian (2016) demonstrated that Ethereum smart contracts could dramatically improve food-supply traceability, reducing recall times and counterfeit entry points. Kshetri (2018) further showed that immutable ledgers foster trust among diverse stakeholders by preserving unalterable audit trails. Despite these successes, most implementations target consumer goods (e.g., food, electronics) rather than regulated pharmaceuticals, which demand stricter compliance, privacy, and safety controls.</w:t>
      </w:r>
    </w:p>
    <w:p w:rsidR="00000000" w:rsidDel="00000000" w:rsidP="00000000" w:rsidRDefault="00000000" w:rsidRPr="00000000" w14:paraId="00000011">
      <w:pPr>
        <w:spacing w:after="240" w:before="24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Hypothesis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Leveraging Ethereum smart contracts in the pharmaceutical supply chain significantly enhances end-to-end transparency compared to traditional SCM systems.</w:t>
      </w:r>
    </w:p>
    <w:p w:rsidR="00000000" w:rsidDel="00000000" w:rsidP="00000000" w:rsidRDefault="00000000" w:rsidRPr="00000000" w14:paraId="00000012">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Off-Chain Storage and Data Integrity</w:t>
      </w:r>
    </w:p>
    <w:p w:rsidR="00000000" w:rsidDel="00000000" w:rsidP="00000000" w:rsidRDefault="00000000" w:rsidRPr="00000000" w14:paraId="0000001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Direct on-chain storage of large files incurs prohibitive gas costs. Uddin et al. (2020) introduced hybrid architectures combining IPFS with blockchain, preserving data integrity via cryptographic hashes while minimizing on-chain expenses. However, existing frameworks rarely integrate IPFS for secure storage of critical regulatory documents (e.g., certificates of analysis, KYC materials) alongside pharmaceutical batch metadata.</w:t>
      </w:r>
    </w:p>
    <w:p w:rsidR="00000000" w:rsidDel="00000000" w:rsidP="00000000" w:rsidRDefault="00000000" w:rsidRPr="00000000" w14:paraId="00000014">
      <w:pPr>
        <w:spacing w:after="240" w:before="24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Hypothesis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Integrating IPFS for off-chain storage of regulatory documents ensures data integrity while reducing on-chain storage costs.</w:t>
      </w:r>
    </w:p>
    <w:p w:rsidR="00000000" w:rsidDel="00000000" w:rsidP="00000000" w:rsidRDefault="00000000" w:rsidRPr="00000000" w14:paraId="00000015">
      <w:pPr>
        <w:spacing w:after="240" w:before="24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6">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Role-Based Access Control with Smart Contracts</w:t>
      </w:r>
      <w:r w:rsidDel="00000000" w:rsidR="00000000" w:rsidRPr="00000000">
        <w:rPr>
          <w:rtl w:val="0"/>
        </w:rPr>
      </w:r>
    </w:p>
    <w:p w:rsidR="00000000" w:rsidDel="00000000" w:rsidP="00000000" w:rsidRDefault="00000000" w:rsidRPr="00000000" w14:paraId="0000001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Multi-party environments require fine-grained permissioning. Xu et al. (2019) implemented smart-contract-driven access tiers in trade finance, ensuring only authorized entities execute sensitive transactions. In the pharmaceutical domain, enforcing manufacturer-only batch creation or distributor-only transfers—while preventing unauthorized tampering—is vital for compliance with regulatory bodies like the FDA or EMA.</w:t>
      </w:r>
    </w:p>
    <w:p w:rsidR="00000000" w:rsidDel="00000000" w:rsidP="00000000" w:rsidRDefault="00000000" w:rsidRPr="00000000" w14:paraId="00000018">
      <w:pPr>
        <w:spacing w:after="240" w:before="24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Hypothesis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Enforcing role-based access control via smart contracts prevents unauthorized operations and strengthens regulatory compliance.</w:t>
      </w:r>
    </w:p>
    <w:p w:rsidR="00000000" w:rsidDel="00000000" w:rsidP="00000000" w:rsidRDefault="00000000" w:rsidRPr="00000000" w14:paraId="00000019">
      <w:pPr>
        <w:spacing w:after="240" w:before="24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A">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Decentralized Applications in Healthcare Logistics</w:t>
      </w:r>
      <w:r w:rsidDel="00000000" w:rsidR="00000000" w:rsidRPr="00000000">
        <w:rPr>
          <w:rtl w:val="0"/>
        </w:rPr>
      </w:r>
    </w:p>
    <w:p w:rsidR="00000000" w:rsidDel="00000000" w:rsidP="00000000" w:rsidRDefault="00000000" w:rsidRPr="00000000" w14:paraId="0000001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Ikeda et al. (2021) built a DApp for secure patient-record sharing, illustrating that Web3 interfaces can meet healthcare’s privacy and auditability needs. Yet, few projects extend DApp paradigms to medical logistics. Moreover, user-focused designs that abstract blockchain complexity—making transaction signing and event listening intuitive—remain underdeveloped for non-technical supply-chain participants.</w:t>
      </w:r>
    </w:p>
    <w:p w:rsidR="00000000" w:rsidDel="00000000" w:rsidP="00000000" w:rsidRDefault="00000000" w:rsidRPr="00000000" w14:paraId="0000001C">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Hypothesis 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 user-centric Web3 frontend increases adoption among non-technical stakeholders by simplifying blockchain interactions.</w:t>
      </w:r>
      <w:r w:rsidDel="00000000" w:rsidR="00000000" w:rsidRPr="00000000">
        <w:rPr>
          <w:rtl w:val="0"/>
        </w:rPr>
      </w:r>
    </w:p>
    <w:p w:rsidR="00000000" w:rsidDel="00000000" w:rsidP="00000000" w:rsidRDefault="00000000" w:rsidRPr="00000000" w14:paraId="0000001D">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 </w:t>
      </w:r>
      <w:r w:rsidDel="00000000" w:rsidR="00000000" w:rsidRPr="00000000">
        <w:rPr>
          <w:rFonts w:ascii="Times New Roman" w:cs="Times New Roman" w:eastAsia="Times New Roman" w:hAnsi="Times New Roman"/>
          <w:b w:val="1"/>
          <w:sz w:val="24"/>
          <w:szCs w:val="24"/>
          <w:rtl w:val="0"/>
        </w:rPr>
        <w:t xml:space="preserve">Research Gap</w:t>
      </w:r>
    </w:p>
    <w:p w:rsidR="00000000" w:rsidDel="00000000" w:rsidP="00000000" w:rsidRDefault="00000000" w:rsidRPr="00000000" w14:paraId="0000001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Although prior work has explored on-chain traceability, hybrid IPFS storage, smart-contract access control, and Web3 usability in isolation, no comprehensive solution targets all these aspects for pharmaceutical logistics. Our Pharma-SupplyChain-Blockchain DApp uniquely integrates immutable batch tracking, verifiable off-chain document storage, strict role enforcement, and an intuitive interface into a single platform designed to meet the stringent compliance and usability demands of the pharmaceutical industry.</w:t>
      </w:r>
    </w:p>
    <w:p w:rsidR="00000000" w:rsidDel="00000000" w:rsidP="00000000" w:rsidRDefault="00000000" w:rsidRPr="00000000" w14:paraId="0000001F">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&lt;H1&gt; Data and Variables</w:t>
      </w:r>
    </w:p>
    <w:p w:rsidR="00000000" w:rsidDel="00000000" w:rsidP="00000000" w:rsidRDefault="00000000" w:rsidRPr="00000000" w14:paraId="00000020">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Study period and sample</w:t>
      </w:r>
    </w:p>
    <w:p w:rsidR="00000000" w:rsidDel="00000000" w:rsidP="00000000" w:rsidRDefault="00000000" w:rsidRPr="00000000" w14:paraId="0000002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rtl w:val="0"/>
        </w:rPr>
        <w:t xml:space="preserve">The development and evaluation of Pharma-SupplyChain-Blockchain spanned fifteen months, from January 2024 through March 2025, and was divided into three key phases: initial prototyping, smart-contract hardening, and pilot deployment. In the prototyping phase (Jan–Jun 2024), we iteratively designed and tested core Solidity contracts on Remix IDE before migrating to the Hardhat framework. During the hardening phase (Jul–Dec 2024), all contracts were deployed to the Sepolia testnet, with over 500 transactions executed to validate edge cases (expired-batch handling, over-transfers, unauthorized calls). We also integrated IPFS, establishing a private pinning cluster to ensure high availability of off-chain metadata (certificates, JSON manifests).</w:t>
      </w:r>
    </w:p>
    <w:p w:rsidR="00000000" w:rsidDel="00000000" w:rsidP="00000000" w:rsidRDefault="00000000" w:rsidRPr="00000000" w14:paraId="0000002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Concurrently, the React/GraphQL frontend and Apollo server were built and connected to a MongoDB Atlas instance, supporting role-application workflows, document uploads, and audit-log persistence. In the pilot deployment phase (Jan–Mar 2025), we enlisted 20 participants across four stakeholder groups—five manufacturers, five distributors, five retailers, and five end-customers—to perform real-world tasks. Each participant executed an average of 10 end-to-end workflows, including wallet connection, role assignment, batch creation, multi-leg transfers, and provenance verification. These sessions were conducted on both desktop and mobile devices, under varied network conditions, to assess usability, performance, and resilience. Feedback collected via surveys and follow-up interviews guided final optimizations, ensuring the DApp’s readiness for broader rollout.</w:t>
      </w:r>
    </w:p>
    <w:p w:rsidR="00000000" w:rsidDel="00000000" w:rsidP="00000000" w:rsidRDefault="00000000" w:rsidRPr="00000000" w14:paraId="00000023">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 </w:t>
      </w:r>
      <w:r w:rsidDel="00000000" w:rsidR="00000000" w:rsidRPr="00000000">
        <w:rPr>
          <w:rFonts w:ascii="Times New Roman" w:cs="Times New Roman" w:eastAsia="Times New Roman" w:hAnsi="Times New Roman"/>
          <w:b w:val="1"/>
          <w:sz w:val="24"/>
          <w:szCs w:val="24"/>
          <w:rtl w:val="0"/>
        </w:rPr>
        <w:t xml:space="preserve">Dependent Variables</w:t>
      </w:r>
    </w:p>
    <w:p w:rsidR="00000000" w:rsidDel="00000000" w:rsidP="00000000" w:rsidRDefault="00000000" w:rsidRPr="00000000" w14:paraId="00000024">
      <w:pPr>
        <w:numPr>
          <w:ilvl w:val="0"/>
          <w:numId w:val="7"/>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Traceability Depth:</w:t>
      </w:r>
      <w:r w:rsidDel="00000000" w:rsidR="00000000" w:rsidRPr="00000000">
        <w:rPr>
          <w:rFonts w:ascii="Times New Roman" w:cs="Times New Roman" w:eastAsia="Times New Roman" w:hAnsi="Times New Roman"/>
          <w:rtl w:val="0"/>
        </w:rPr>
        <w:t xml:space="preserve"> The number of on-chain custody events recorded per batch, measured by the length of the </w:t>
      </w:r>
      <w:r w:rsidDel="00000000" w:rsidR="00000000" w:rsidRPr="00000000">
        <w:rPr>
          <w:rFonts w:ascii="Times New Roman" w:cs="Times New Roman" w:eastAsia="Times New Roman" w:hAnsi="Times New Roman"/>
          <w:b w:val="1"/>
          <w:rtl w:val="0"/>
        </w:rPr>
        <w:t xml:space="preserve">chainOfCustody</w:t>
      </w:r>
      <w:r w:rsidDel="00000000" w:rsidR="00000000" w:rsidRPr="00000000">
        <w:rPr>
          <w:rFonts w:ascii="Times New Roman" w:cs="Times New Roman" w:eastAsia="Times New Roman" w:hAnsi="Times New Roman"/>
          <w:rtl w:val="0"/>
        </w:rPr>
        <w:t xml:space="preserve"> array.</w:t>
      </w:r>
    </w:p>
    <w:p w:rsidR="00000000" w:rsidDel="00000000" w:rsidP="00000000" w:rsidRDefault="00000000" w:rsidRPr="00000000" w14:paraId="00000025">
      <w:pPr>
        <w:numPr>
          <w:ilvl w:val="0"/>
          <w:numId w:val="7"/>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Access Enforcement Rate:</w:t>
      </w:r>
      <w:r w:rsidDel="00000000" w:rsidR="00000000" w:rsidRPr="00000000">
        <w:rPr>
          <w:rFonts w:ascii="Times New Roman" w:cs="Times New Roman" w:eastAsia="Times New Roman" w:hAnsi="Times New Roman"/>
          <w:rtl w:val="0"/>
        </w:rPr>
        <w:t xml:space="preserve"> The percentage of attempted role-restricted actions that were correctly permitted or rejected by the smart contract’s </w:t>
      </w:r>
      <w:r w:rsidDel="00000000" w:rsidR="00000000" w:rsidRPr="00000000">
        <w:rPr>
          <w:rFonts w:ascii="Times New Roman" w:cs="Times New Roman" w:eastAsia="Times New Roman" w:hAnsi="Times New Roman"/>
          <w:b w:val="1"/>
          <w:rtl w:val="0"/>
        </w:rPr>
        <w:t xml:space="preserve">onlyRole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onlyOwner</w:t>
      </w:r>
      <w:r w:rsidDel="00000000" w:rsidR="00000000" w:rsidRPr="00000000">
        <w:rPr>
          <w:rFonts w:ascii="Times New Roman" w:cs="Times New Roman" w:eastAsia="Times New Roman" w:hAnsi="Times New Roman"/>
          <w:rtl w:val="0"/>
        </w:rPr>
        <w:t xml:space="preserve"> modifiers.</w:t>
      </w:r>
    </w:p>
    <w:p w:rsidR="00000000" w:rsidDel="00000000" w:rsidP="00000000" w:rsidRDefault="00000000" w:rsidRPr="00000000" w14:paraId="00000026">
      <w:pPr>
        <w:numPr>
          <w:ilvl w:val="0"/>
          <w:numId w:val="7"/>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Verification Time:</w:t>
      </w:r>
      <w:r w:rsidDel="00000000" w:rsidR="00000000" w:rsidRPr="00000000">
        <w:rPr>
          <w:rFonts w:ascii="Times New Roman" w:cs="Times New Roman" w:eastAsia="Times New Roman" w:hAnsi="Times New Roman"/>
          <w:rtl w:val="0"/>
        </w:rPr>
        <w:t xml:space="preserve"> The latency (in seconds) between a user’s request to view batch details and the frontend’s display of the complete provenance history.</w:t>
        <w:br w:type="textWrapping"/>
      </w:r>
    </w:p>
    <w:p w:rsidR="00000000" w:rsidDel="00000000" w:rsidP="00000000" w:rsidRDefault="00000000" w:rsidRPr="00000000" w14:paraId="00000027">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 </w:t>
      </w:r>
      <w:r w:rsidDel="00000000" w:rsidR="00000000" w:rsidRPr="00000000">
        <w:rPr>
          <w:rFonts w:ascii="Times New Roman" w:cs="Times New Roman" w:eastAsia="Times New Roman" w:hAnsi="Times New Roman"/>
          <w:b w:val="1"/>
          <w:sz w:val="24"/>
          <w:szCs w:val="24"/>
          <w:rtl w:val="0"/>
        </w:rPr>
        <w:t xml:space="preserve">Independent Variables</w:t>
      </w:r>
    </w:p>
    <w:p w:rsidR="00000000" w:rsidDel="00000000" w:rsidP="00000000" w:rsidRDefault="00000000" w:rsidRPr="00000000" w14:paraId="00000028">
      <w:pPr>
        <w:numPr>
          <w:ilvl w:val="0"/>
          <w:numId w:val="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Smart Contract Configuration:</w:t>
      </w:r>
      <w:r w:rsidDel="00000000" w:rsidR="00000000" w:rsidRPr="00000000">
        <w:rPr>
          <w:rFonts w:ascii="Times New Roman" w:cs="Times New Roman" w:eastAsia="Times New Roman" w:hAnsi="Times New Roman"/>
          <w:rtl w:val="0"/>
        </w:rPr>
        <w:t xml:space="preserve"> Variations in contract parameters, such as gas-optimizing compiler settings and event-emission granularity, which could affect transaction cost and logging fidelity.</w:t>
      </w:r>
    </w:p>
    <w:p w:rsidR="00000000" w:rsidDel="00000000" w:rsidP="00000000" w:rsidRDefault="00000000" w:rsidRPr="00000000" w14:paraId="00000029">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Storage Architecture:</w:t>
      </w:r>
      <w:r w:rsidDel="00000000" w:rsidR="00000000" w:rsidRPr="00000000">
        <w:rPr>
          <w:rFonts w:ascii="Times New Roman" w:cs="Times New Roman" w:eastAsia="Times New Roman" w:hAnsi="Times New Roman"/>
          <w:rtl w:val="0"/>
        </w:rPr>
        <w:t xml:space="preserve"> Use of IPFS to store metadata and regulatory documents off-chain versus on-chain alternatives, impacting gas consumption and data retrieval latency.</w:t>
      </w:r>
    </w:p>
    <w:p w:rsidR="00000000" w:rsidDel="00000000" w:rsidP="00000000" w:rsidRDefault="00000000" w:rsidRPr="00000000" w14:paraId="0000002A">
      <w:pPr>
        <w:numPr>
          <w:ilvl w:val="0"/>
          <w:numId w:val="2"/>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Interaction Patterns:</w:t>
      </w:r>
      <w:r w:rsidDel="00000000" w:rsidR="00000000" w:rsidRPr="00000000">
        <w:rPr>
          <w:rFonts w:ascii="Times New Roman" w:cs="Times New Roman" w:eastAsia="Times New Roman" w:hAnsi="Times New Roman"/>
          <w:rtl w:val="0"/>
        </w:rPr>
        <w:t xml:space="preserve"> Differences in how users connect wallets, submit role requests, and trigger transactions (e.g., mobile versus desktop clients), which may influence UI responsiveness and error rates.</w:t>
        <w:br w:type="textWrapping"/>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 </w:t>
      </w:r>
      <w:r w:rsidDel="00000000" w:rsidR="00000000" w:rsidRPr="00000000">
        <w:rPr>
          <w:rFonts w:ascii="Times New Roman" w:cs="Times New Roman" w:eastAsia="Times New Roman" w:hAnsi="Times New Roman"/>
          <w:b w:val="1"/>
          <w:sz w:val="24"/>
          <w:szCs w:val="24"/>
          <w:rtl w:val="0"/>
        </w:rPr>
        <w:t xml:space="preserve">Control Variables</w:t>
      </w:r>
    </w:p>
    <w:p w:rsidR="00000000" w:rsidDel="00000000" w:rsidP="00000000" w:rsidRDefault="00000000" w:rsidRPr="00000000" w14:paraId="0000002C">
      <w:pPr>
        <w:numPr>
          <w:ilvl w:val="0"/>
          <w:numId w:val="5"/>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Blockchain Network:</w:t>
      </w:r>
      <w:r w:rsidDel="00000000" w:rsidR="00000000" w:rsidRPr="00000000">
        <w:rPr>
          <w:rFonts w:ascii="Times New Roman" w:cs="Times New Roman" w:eastAsia="Times New Roman" w:hAnsi="Times New Roman"/>
          <w:rtl w:val="0"/>
        </w:rPr>
        <w:t xml:space="preserve"> All on-chain tests used the Sepolia testnet to ensure consistent gas prices and block times, isolating network variability.</w:t>
      </w:r>
    </w:p>
    <w:p w:rsidR="00000000" w:rsidDel="00000000" w:rsidP="00000000" w:rsidRDefault="00000000" w:rsidRPr="00000000" w14:paraId="0000002D">
      <w:pPr>
        <w:numPr>
          <w:ilvl w:val="0"/>
          <w:numId w:val="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Wallet Provider:</w:t>
      </w:r>
      <w:r w:rsidDel="00000000" w:rsidR="00000000" w:rsidRPr="00000000">
        <w:rPr>
          <w:rFonts w:ascii="Times New Roman" w:cs="Times New Roman" w:eastAsia="Times New Roman" w:hAnsi="Times New Roman"/>
          <w:rtl w:val="0"/>
        </w:rPr>
        <w:t xml:space="preserve"> MetaMask (via RainbowKit/Wagmi) was the sole wallet interface to standardize signing workflows and network switching behavior.</w:t>
      </w:r>
    </w:p>
    <w:p w:rsidR="00000000" w:rsidDel="00000000" w:rsidP="00000000" w:rsidRDefault="00000000" w:rsidRPr="00000000" w14:paraId="0000002E">
      <w:pPr>
        <w:numPr>
          <w:ilvl w:val="0"/>
          <w:numId w:val="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File Formats:</w:t>
      </w:r>
      <w:r w:rsidDel="00000000" w:rsidR="00000000" w:rsidRPr="00000000">
        <w:rPr>
          <w:rFonts w:ascii="Times New Roman" w:cs="Times New Roman" w:eastAsia="Times New Roman" w:hAnsi="Times New Roman"/>
          <w:rtl w:val="0"/>
        </w:rPr>
        <w:t xml:space="preserve"> Off-chain uploads were limited to JSON manifests for batch metadata and PDF/JPG for verification documents, ensuring uniform IPFS handling and hash generation.</w:t>
      </w:r>
    </w:p>
    <w:p w:rsidR="00000000" w:rsidDel="00000000" w:rsidP="00000000" w:rsidRDefault="00000000" w:rsidRPr="00000000" w14:paraId="0000002F">
      <w:pPr>
        <w:numPr>
          <w:ilvl w:val="0"/>
          <w:numId w:val="5"/>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 Environment:</w:t>
      </w:r>
      <w:r w:rsidDel="00000000" w:rsidR="00000000" w:rsidRPr="00000000">
        <w:rPr>
          <w:rFonts w:ascii="Times New Roman" w:cs="Times New Roman" w:eastAsia="Times New Roman" w:hAnsi="Times New Roman"/>
          <w:rtl w:val="0"/>
        </w:rPr>
        <w:t xml:space="preserve"> A single Node.js/Apollo GraphQL server instance with MongoDB provided a stable off-chain platform for role applications and document management.</w:t>
      </w:r>
      <w:r w:rsidDel="00000000" w:rsidR="00000000" w:rsidRPr="00000000">
        <w:rPr>
          <w:rtl w:val="0"/>
        </w:rPr>
      </w:r>
    </w:p>
    <w:p w:rsidR="00000000" w:rsidDel="00000000" w:rsidP="00000000" w:rsidRDefault="00000000" w:rsidRPr="00000000" w14:paraId="00000030">
      <w:pPr>
        <w:pStyle w:val="Heading2"/>
        <w:keepNext w:val="0"/>
        <w:keepLines w:val="0"/>
        <w:spacing w:line="240" w:lineRule="auto"/>
        <w:jc w:val="both"/>
        <w:rPr>
          <w:rFonts w:ascii="Times New Roman" w:cs="Times New Roman" w:eastAsia="Times New Roman" w:hAnsi="Times New Roman"/>
          <w:sz w:val="28"/>
          <w:szCs w:val="28"/>
        </w:rPr>
      </w:pPr>
      <w:bookmarkStart w:colFirst="0" w:colLast="0" w:name="_rq3083ebae8" w:id="1"/>
      <w:bookmarkEnd w:id="1"/>
      <w:r w:rsidDel="00000000" w:rsidR="00000000" w:rsidRPr="00000000">
        <w:rPr>
          <w:rFonts w:ascii="Times New Roman" w:cs="Times New Roman" w:eastAsia="Times New Roman" w:hAnsi="Times New Roman"/>
          <w:sz w:val="28"/>
          <w:szCs w:val="28"/>
          <w:rtl w:val="0"/>
        </w:rPr>
        <w:t xml:space="preserve">&lt;H1&gt; Methodology and Model Implementation</w:t>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describes the systematic approach used to design, implement, and validate the Pharma-SupplyChain-Blockchain application. We begin by outlining the overall methodology—how components interact, data flows, and development tools—then define the core “model” in terms of smart-contract structures, functions, and access controls.</w:t>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System Design &amp; Architectural Blueprint</w:t>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rtl w:val="0"/>
        </w:rPr>
        <w:t xml:space="preserve">We defined a five-layer architecture to ensure separation of concerns and scalability:</w:t>
      </w:r>
    </w:p>
    <w:p w:rsidR="00000000" w:rsidDel="00000000" w:rsidP="00000000" w:rsidRDefault="00000000" w:rsidRPr="00000000" w14:paraId="00000034">
      <w:pPr>
        <w:numPr>
          <w:ilvl w:val="0"/>
          <w:numId w:val="6"/>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Layer:</w:t>
      </w:r>
      <w:r w:rsidDel="00000000" w:rsidR="00000000" w:rsidRPr="00000000">
        <w:rPr>
          <w:rFonts w:ascii="Times New Roman" w:cs="Times New Roman" w:eastAsia="Times New Roman" w:hAnsi="Times New Roman"/>
          <w:rtl w:val="0"/>
        </w:rPr>
        <w:t xml:space="preserve"> Stakeholders connect via MetaMask using RainbowKit, ensuring secure key management and transaction signing.</w:t>
      </w:r>
    </w:p>
    <w:p w:rsidR="00000000" w:rsidDel="00000000" w:rsidP="00000000" w:rsidRDefault="00000000" w:rsidRPr="00000000" w14:paraId="00000035">
      <w:pPr>
        <w:numPr>
          <w:ilvl w:val="0"/>
          <w:numId w:val="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Frontend Layer:</w:t>
      </w:r>
      <w:r w:rsidDel="00000000" w:rsidR="00000000" w:rsidRPr="00000000">
        <w:rPr>
          <w:rFonts w:ascii="Times New Roman" w:cs="Times New Roman" w:eastAsia="Times New Roman" w:hAnsi="Times New Roman"/>
          <w:rtl w:val="0"/>
        </w:rPr>
        <w:t xml:space="preserve"> Built with React, Vite, and TypeScript, incorporating Wagmi hooks for wallet interactions, event subscriptions, and real-time UI updates.</w:t>
      </w:r>
    </w:p>
    <w:p w:rsidR="00000000" w:rsidDel="00000000" w:rsidP="00000000" w:rsidRDefault="00000000" w:rsidRPr="00000000" w14:paraId="00000036">
      <w:pPr>
        <w:numPr>
          <w:ilvl w:val="0"/>
          <w:numId w:val="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 Layer:</w:t>
      </w:r>
      <w:r w:rsidDel="00000000" w:rsidR="00000000" w:rsidRPr="00000000">
        <w:rPr>
          <w:rFonts w:ascii="Times New Roman" w:cs="Times New Roman" w:eastAsia="Times New Roman" w:hAnsi="Times New Roman"/>
          <w:rtl w:val="0"/>
        </w:rPr>
        <w:t xml:space="preserve"> A Node.js server running Apollo GraphQL handles role applications, document uploads to IPFS, and admin workflows, with MongoDB for persistent user and application data.</w:t>
      </w:r>
    </w:p>
    <w:p w:rsidR="00000000" w:rsidDel="00000000" w:rsidP="00000000" w:rsidRDefault="00000000" w:rsidRPr="00000000" w14:paraId="00000037">
      <w:pPr>
        <w:numPr>
          <w:ilvl w:val="0"/>
          <w:numId w:val="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Smart Contract Layer:</w:t>
      </w:r>
      <w:r w:rsidDel="00000000" w:rsidR="00000000" w:rsidRPr="00000000">
        <w:rPr>
          <w:rFonts w:ascii="Times New Roman" w:cs="Times New Roman" w:eastAsia="Times New Roman" w:hAnsi="Times New Roman"/>
          <w:rtl w:val="0"/>
        </w:rPr>
        <w:t xml:space="preserve"> Solidity contracts on Ethereum Sepolia enforce role-based permissions, batch creation, transfer logic, and provenance queries.</w:t>
      </w:r>
    </w:p>
    <w:p w:rsidR="00000000" w:rsidDel="00000000" w:rsidP="00000000" w:rsidRDefault="00000000" w:rsidRPr="00000000" w14:paraId="00000038">
      <w:pPr>
        <w:numPr>
          <w:ilvl w:val="0"/>
          <w:numId w:val="6"/>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Storage Layer:</w:t>
      </w:r>
      <w:r w:rsidDel="00000000" w:rsidR="00000000" w:rsidRPr="00000000">
        <w:rPr>
          <w:rFonts w:ascii="Times New Roman" w:cs="Times New Roman" w:eastAsia="Times New Roman" w:hAnsi="Times New Roman"/>
          <w:rtl w:val="0"/>
        </w:rPr>
        <w:t xml:space="preserve"> IPFS stores large or sensitive files (batch metadata, compliance documents), with only CIDs on-chain to guarantee integrity without high gas costs.</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602028</wp:posOffset>
            </wp:positionV>
            <wp:extent cx="4009073" cy="2263049"/>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6398" l="1923" r="2403" t="3679"/>
                    <a:stretch>
                      <a:fillRect/>
                    </a:stretch>
                  </pic:blipFill>
                  <pic:spPr>
                    <a:xfrm>
                      <a:off x="0" y="0"/>
                      <a:ext cx="4009073" cy="2263049"/>
                    </a:xfrm>
                    <a:prstGeom prst="rect"/>
                    <a:ln/>
                  </pic:spPr>
                </pic:pic>
              </a:graphicData>
            </a:graphic>
          </wp:anchor>
        </w:drawing>
      </w:r>
    </w:p>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Smart Contract Model &amp; Workflow</w:t>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AdvancedSupplyChain.sol</w:t>
      </w:r>
      <w:r w:rsidDel="00000000" w:rsidR="00000000" w:rsidRPr="00000000">
        <w:rPr>
          <w:rFonts w:ascii="Times New Roman" w:cs="Times New Roman" w:eastAsia="Times New Roman" w:hAnsi="Times New Roman"/>
          <w:rtl w:val="0"/>
        </w:rPr>
        <w:t xml:space="preserve"> contract embodies the core business logic:</w:t>
      </w:r>
    </w:p>
    <w:p w:rsidR="00000000" w:rsidDel="00000000" w:rsidP="00000000" w:rsidRDefault="00000000" w:rsidRPr="00000000" w14:paraId="0000003C">
      <w:pPr>
        <w:numPr>
          <w:ilvl w:val="0"/>
          <w:numId w:val="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 Management:</w:t>
      </w:r>
      <w:r w:rsidDel="00000000" w:rsidR="00000000" w:rsidRPr="00000000">
        <w:rPr>
          <w:rFonts w:ascii="Times New Roman" w:cs="Times New Roman" w:eastAsia="Times New Roman" w:hAnsi="Times New Roman"/>
          <w:rtl w:val="0"/>
        </w:rPr>
        <w:t xml:space="preserve"> Admin-only functions </w:t>
      </w:r>
      <w:r w:rsidDel="00000000" w:rsidR="00000000" w:rsidRPr="00000000">
        <w:rPr>
          <w:rFonts w:ascii="Times New Roman" w:cs="Times New Roman" w:eastAsia="Times New Roman" w:hAnsi="Times New Roman"/>
          <w:b w:val="1"/>
          <w:rtl w:val="0"/>
        </w:rPr>
        <w:t xml:space="preserve">assignRole()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revokeRole()</w:t>
      </w:r>
      <w:r w:rsidDel="00000000" w:rsidR="00000000" w:rsidRPr="00000000">
        <w:rPr>
          <w:rFonts w:ascii="Times New Roman" w:cs="Times New Roman" w:eastAsia="Times New Roman" w:hAnsi="Times New Roman"/>
          <w:rtl w:val="0"/>
        </w:rPr>
        <w:t xml:space="preserve"> ensure only vetted participants can perform sensitive operations.</w:t>
      </w:r>
    </w:p>
    <w:p w:rsidR="00000000" w:rsidDel="00000000" w:rsidP="00000000" w:rsidRDefault="00000000" w:rsidRPr="00000000" w14:paraId="0000003D">
      <w:pPr>
        <w:numPr>
          <w:ilvl w:val="0"/>
          <w:numId w:val="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Batch Lifecycle:</w:t>
      </w:r>
      <w:r w:rsidDel="00000000" w:rsidR="00000000" w:rsidRPr="00000000">
        <w:rPr>
          <w:rFonts w:ascii="Times New Roman" w:cs="Times New Roman" w:eastAsia="Times New Roman" w:hAnsi="Times New Roman"/>
          <w:rtl w:val="0"/>
        </w:rPr>
        <w:t xml:space="preserve"> Manufacturer-restricted </w:t>
      </w:r>
      <w:r w:rsidDel="00000000" w:rsidR="00000000" w:rsidRPr="00000000">
        <w:rPr>
          <w:rFonts w:ascii="Times New Roman" w:cs="Times New Roman" w:eastAsia="Times New Roman" w:hAnsi="Times New Roman"/>
          <w:b w:val="1"/>
          <w:rtl w:val="0"/>
        </w:rPr>
        <w:t xml:space="preserve">createBatch()</w:t>
      </w:r>
      <w:r w:rsidDel="00000000" w:rsidR="00000000" w:rsidRPr="00000000">
        <w:rPr>
          <w:rFonts w:ascii="Times New Roman" w:cs="Times New Roman" w:eastAsia="Times New Roman" w:hAnsi="Times New Roman"/>
          <w:rtl w:val="0"/>
        </w:rPr>
        <w:t xml:space="preserve"> records new batches, storing IPFS CIDs, expiry dates, and storage conditions.</w:t>
      </w:r>
    </w:p>
    <w:p w:rsidR="00000000" w:rsidDel="00000000" w:rsidP="00000000" w:rsidRDefault="00000000" w:rsidRPr="00000000" w14:paraId="0000003E">
      <w:pPr>
        <w:numPr>
          <w:ilvl w:val="0"/>
          <w:numId w:val="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Custody Transfers:</w:t>
      </w:r>
      <w:r w:rsidDel="00000000" w:rsidR="00000000" w:rsidRPr="00000000">
        <w:rPr>
          <w:rFonts w:ascii="Times New Roman" w:cs="Times New Roman" w:eastAsia="Times New Roman" w:hAnsi="Times New Roman"/>
          <w:rtl w:val="0"/>
        </w:rPr>
        <w:t xml:space="preserve"> Distributor/Retailer-restricted </w:t>
      </w:r>
      <w:r w:rsidDel="00000000" w:rsidR="00000000" w:rsidRPr="00000000">
        <w:rPr>
          <w:rFonts w:ascii="Times New Roman" w:cs="Times New Roman" w:eastAsia="Times New Roman" w:hAnsi="Times New Roman"/>
          <w:b w:val="1"/>
          <w:rtl w:val="0"/>
        </w:rPr>
        <w:t xml:space="preserve">transferBatch(</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rtl w:val="0"/>
        </w:rPr>
        <w:t xml:space="preserve"> updates on-chain custody logs and emits granular </w:t>
      </w:r>
      <w:r w:rsidDel="00000000" w:rsidR="00000000" w:rsidRPr="00000000">
        <w:rPr>
          <w:rFonts w:ascii="Times New Roman" w:cs="Times New Roman" w:eastAsia="Times New Roman" w:hAnsi="Times New Roman"/>
          <w:b w:val="1"/>
          <w:rtl w:val="0"/>
        </w:rPr>
        <w:t xml:space="preserve">BatchTransferred</w:t>
      </w:r>
      <w:r w:rsidDel="00000000" w:rsidR="00000000" w:rsidRPr="00000000">
        <w:rPr>
          <w:rFonts w:ascii="Times New Roman" w:cs="Times New Roman" w:eastAsia="Times New Roman" w:hAnsi="Times New Roman"/>
          <w:rtl w:val="0"/>
        </w:rPr>
        <w:t xml:space="preserve"> events.</w:t>
      </w:r>
    </w:p>
    <w:p w:rsidR="00000000" w:rsidDel="00000000" w:rsidP="00000000" w:rsidRDefault="00000000" w:rsidRPr="00000000" w14:paraId="0000003F">
      <w:pPr>
        <w:numPr>
          <w:ilvl w:val="0"/>
          <w:numId w:val="3"/>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Queries &amp; Events:</w:t>
      </w:r>
      <w:r w:rsidDel="00000000" w:rsidR="00000000" w:rsidRPr="00000000">
        <w:rPr>
          <w:rFonts w:ascii="Times New Roman" w:cs="Times New Roman" w:eastAsia="Times New Roman" w:hAnsi="Times New Roman"/>
          <w:rtl w:val="0"/>
        </w:rPr>
        <w:t xml:space="preserve"> Read-only methods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getBatchDetails()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getTransfersByAddress()</w:t>
      </w:r>
      <w:r w:rsidDel="00000000" w:rsidR="00000000" w:rsidRPr="00000000">
        <w:rPr>
          <w:rFonts w:ascii="Times New Roman" w:cs="Times New Roman" w:eastAsia="Times New Roman" w:hAnsi="Times New Roman"/>
          <w:rtl w:val="0"/>
        </w:rPr>
        <w:t xml:space="preserve">) allow any user to reconstruct a batch’s history; emitted events drive the frontend’s reactive updates.</w:t>
      </w:r>
      <w:r w:rsidDel="00000000" w:rsidR="00000000" w:rsidRPr="00000000">
        <w:drawing>
          <wp:anchor allowOverlap="1" behindDoc="0" distB="114300" distT="114300" distL="114300" distR="114300" hidden="0" layoutInCell="1" locked="0" relativeHeight="0" simplePos="0">
            <wp:simplePos x="0" y="0"/>
            <wp:positionH relativeFrom="column">
              <wp:posOffset>-420051</wp:posOffset>
            </wp:positionH>
            <wp:positionV relativeFrom="paragraph">
              <wp:posOffset>733425</wp:posOffset>
            </wp:positionV>
            <wp:extent cx="5800742" cy="2766836"/>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5541" l="1619" r="1754" t="3260"/>
                    <a:stretch>
                      <a:fillRect/>
                    </a:stretch>
                  </pic:blipFill>
                  <pic:spPr>
                    <a:xfrm>
                      <a:off x="0" y="0"/>
                      <a:ext cx="5800742" cy="2766836"/>
                    </a:xfrm>
                    <a:prstGeom prst="rect"/>
                    <a:ln/>
                  </pic:spPr>
                </pic:pic>
              </a:graphicData>
            </a:graphic>
          </wp:anchor>
        </w:drawing>
      </w:r>
    </w:p>
    <w:p w:rsidR="00000000" w:rsidDel="00000000" w:rsidP="00000000" w:rsidRDefault="00000000" w:rsidRPr="00000000" w14:paraId="00000040">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 </w:t>
      </w:r>
      <w:r w:rsidDel="00000000" w:rsidR="00000000" w:rsidRPr="00000000">
        <w:rPr>
          <w:rFonts w:ascii="Times New Roman" w:cs="Times New Roman" w:eastAsia="Times New Roman" w:hAnsi="Times New Roman"/>
          <w:b w:val="1"/>
          <w:sz w:val="24"/>
          <w:szCs w:val="24"/>
          <w:rtl w:val="0"/>
        </w:rPr>
        <w:t xml:space="preserve">Off-Chain Services &amp; Data Handling</w:t>
      </w:r>
    </w:p>
    <w:p w:rsidR="00000000" w:rsidDel="00000000" w:rsidP="00000000" w:rsidRDefault="00000000" w:rsidRPr="00000000" w14:paraId="0000004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rtl w:val="0"/>
        </w:rPr>
        <w:t xml:space="preserve">We employed a GraphQL API and MongoDB to manage off-chain workflows:</w:t>
      </w:r>
    </w:p>
    <w:p w:rsidR="00000000" w:rsidDel="00000000" w:rsidP="00000000" w:rsidRDefault="00000000" w:rsidRPr="00000000" w14:paraId="00000042">
      <w:pPr>
        <w:numPr>
          <w:ilvl w:val="0"/>
          <w:numId w:val="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 Application Flow:</w:t>
      </w:r>
      <w:r w:rsidDel="00000000" w:rsidR="00000000" w:rsidRPr="00000000">
        <w:rPr>
          <w:rFonts w:ascii="Times New Roman" w:cs="Times New Roman" w:eastAsia="Times New Roman" w:hAnsi="Times New Roman"/>
          <w:rtl w:val="0"/>
        </w:rPr>
        <w:t xml:space="preserve"> Users submit role requests via a frontend mutation; GraphQL resolvers persist applications in MongoDB, and admins approve requests through a protected dashboard.</w:t>
      </w:r>
    </w:p>
    <w:p w:rsidR="00000000" w:rsidDel="00000000" w:rsidP="00000000" w:rsidRDefault="00000000" w:rsidRPr="00000000" w14:paraId="00000043">
      <w:pPr>
        <w:numPr>
          <w:ilvl w:val="0"/>
          <w:numId w:val="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 Verification:</w:t>
      </w:r>
      <w:r w:rsidDel="00000000" w:rsidR="00000000" w:rsidRPr="00000000">
        <w:rPr>
          <w:rFonts w:ascii="Times New Roman" w:cs="Times New Roman" w:eastAsia="Times New Roman" w:hAnsi="Times New Roman"/>
          <w:rtl w:val="0"/>
        </w:rPr>
        <w:t xml:space="preserve"> Compliance documents (e.g., certificates, KYC) are uploaded to IPFS via a dedicated GraphQL </w:t>
      </w:r>
      <w:r w:rsidDel="00000000" w:rsidR="00000000" w:rsidRPr="00000000">
        <w:rPr>
          <w:rFonts w:ascii="Times New Roman" w:cs="Times New Roman" w:eastAsia="Times New Roman" w:hAnsi="Times New Roman"/>
          <w:b w:val="1"/>
          <w:rtl w:val="0"/>
        </w:rPr>
        <w:t xml:space="preserve">uploadDocument</w:t>
      </w:r>
      <w:r w:rsidDel="00000000" w:rsidR="00000000" w:rsidRPr="00000000">
        <w:rPr>
          <w:rFonts w:ascii="Times New Roman" w:cs="Times New Roman" w:eastAsia="Times New Roman" w:hAnsi="Times New Roman"/>
          <w:rtl w:val="0"/>
        </w:rPr>
        <w:t xml:space="preserve"> mutation, returning a CID that’s passed into </w:t>
      </w:r>
      <w:r w:rsidDel="00000000" w:rsidR="00000000" w:rsidRPr="00000000">
        <w:rPr>
          <w:rFonts w:ascii="Times New Roman" w:cs="Times New Roman" w:eastAsia="Times New Roman" w:hAnsi="Times New Roman"/>
          <w:b w:val="1"/>
          <w:rtl w:val="0"/>
        </w:rPr>
        <w:t xml:space="preserve">assignRole()</w:t>
      </w:r>
      <w:r w:rsidDel="00000000" w:rsidR="00000000" w:rsidRPr="00000000">
        <w:rPr>
          <w:rFonts w:ascii="Times New Roman" w:cs="Times New Roman" w:eastAsia="Times New Roman" w:hAnsi="Times New Roman"/>
          <w:rtl w:val="0"/>
        </w:rPr>
        <w:t xml:space="preserve"> or related contract calls.</w:t>
      </w:r>
    </w:p>
    <w:p w:rsidR="00000000" w:rsidDel="00000000" w:rsidP="00000000" w:rsidRDefault="00000000" w:rsidRPr="00000000" w14:paraId="00000044">
      <w:pPr>
        <w:numPr>
          <w:ilvl w:val="0"/>
          <w:numId w:val="4"/>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Audit Logs:</w:t>
      </w:r>
      <w:r w:rsidDel="00000000" w:rsidR="00000000" w:rsidRPr="00000000">
        <w:rPr>
          <w:rFonts w:ascii="Times New Roman" w:cs="Times New Roman" w:eastAsia="Times New Roman" w:hAnsi="Times New Roman"/>
          <w:rtl w:val="0"/>
        </w:rPr>
        <w:t xml:space="preserve"> MongoDB stores audit trails of admin decisions and user interactions, enabling comprehensive off-chain reporting.</w:t>
        <w:br w:type="textWrapping"/>
      </w:r>
    </w:p>
    <w:p w:rsidR="00000000" w:rsidDel="00000000" w:rsidP="00000000" w:rsidRDefault="00000000" w:rsidRPr="00000000" w14:paraId="00000045">
      <w:pPr>
        <w:spacing w:after="240" w:before="240"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Transaction Sequence &amp; User Flows</w:t>
      </w:r>
    </w:p>
    <w:p w:rsidR="00000000" w:rsidDel="00000000" w:rsidP="00000000" w:rsidRDefault="00000000" w:rsidRPr="00000000" w14:paraId="0000004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rtl w:val="0"/>
        </w:rPr>
        <w:t xml:space="preserve">We mapped every user action to on-chain calls and off-chain processes:</w:t>
      </w:r>
    </w:p>
    <w:p w:rsidR="00000000" w:rsidDel="00000000" w:rsidP="00000000" w:rsidRDefault="00000000" w:rsidRPr="00000000" w14:paraId="00000048">
      <w:pPr>
        <w:numPr>
          <w:ilvl w:val="0"/>
          <w:numId w:val="11"/>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b w:val="1"/>
          <w:rtl w:val="0"/>
        </w:rPr>
        <w:t xml:space="preserve">Wallet Connect →</w:t>
      </w:r>
      <w:r w:rsidDel="00000000" w:rsidR="00000000" w:rsidRPr="00000000">
        <w:rPr>
          <w:rFonts w:ascii="Times New Roman" w:cs="Times New Roman" w:eastAsia="Times New Roman" w:hAnsi="Times New Roman"/>
          <w:rtl w:val="0"/>
        </w:rPr>
        <w:t xml:space="preserve"> UI triggers GraphQL </w:t>
      </w:r>
      <w:r w:rsidDel="00000000" w:rsidR="00000000" w:rsidRPr="00000000">
        <w:rPr>
          <w:rFonts w:ascii="Times New Roman" w:cs="Times New Roman" w:eastAsia="Times New Roman" w:hAnsi="Times New Roman"/>
          <w:b w:val="1"/>
          <w:rtl w:val="0"/>
        </w:rPr>
        <w:t xml:space="preserve">applyForRole()</w:t>
      </w:r>
      <w:r w:rsidDel="00000000" w:rsidR="00000000" w:rsidRPr="00000000">
        <w:rPr>
          <w:rFonts w:ascii="Cardo" w:cs="Cardo" w:eastAsia="Cardo" w:hAnsi="Cardo"/>
          <w:rtl w:val="0"/>
        </w:rPr>
        <w:t xml:space="preserve"> → Admin approval → </w:t>
      </w:r>
      <w:r w:rsidDel="00000000" w:rsidR="00000000" w:rsidRPr="00000000">
        <w:rPr>
          <w:rFonts w:ascii="Times New Roman" w:cs="Times New Roman" w:eastAsia="Times New Roman" w:hAnsi="Times New Roman"/>
          <w:b w:val="1"/>
          <w:rtl w:val="0"/>
        </w:rPr>
        <w:t xml:space="preserve">assignRole()</w:t>
      </w:r>
      <w:r w:rsidDel="00000000" w:rsidR="00000000" w:rsidRPr="00000000">
        <w:rPr>
          <w:rFonts w:ascii="Times New Roman" w:cs="Times New Roman" w:eastAsia="Times New Roman" w:hAnsi="Times New Roman"/>
          <w:rtl w:val="0"/>
        </w:rPr>
        <w:t xml:space="preserve"> on-chain</w:t>
      </w:r>
    </w:p>
    <w:p w:rsidR="00000000" w:rsidDel="00000000" w:rsidP="00000000" w:rsidRDefault="00000000" w:rsidRPr="00000000" w14:paraId="00000049">
      <w:pPr>
        <w:numPr>
          <w:ilvl w:val="0"/>
          <w:numId w:val="1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b w:val="1"/>
          <w:rtl w:val="0"/>
        </w:rPr>
        <w:t xml:space="preserve">Batch Creation →</w:t>
      </w:r>
      <w:r w:rsidDel="00000000" w:rsidR="00000000" w:rsidRPr="00000000">
        <w:rPr>
          <w:rFonts w:ascii="Cardo" w:cs="Cardo" w:eastAsia="Cardo" w:hAnsi="Cardo"/>
          <w:rtl w:val="0"/>
        </w:rPr>
        <w:t xml:space="preserve"> IPFS upload → </w:t>
      </w:r>
      <w:r w:rsidDel="00000000" w:rsidR="00000000" w:rsidRPr="00000000">
        <w:rPr>
          <w:rFonts w:ascii="Times New Roman" w:cs="Times New Roman" w:eastAsia="Times New Roman" w:hAnsi="Times New Roman"/>
          <w:b w:val="1"/>
          <w:rtl w:val="0"/>
        </w:rPr>
        <w:t xml:space="preserve">createBatch()</w:t>
      </w:r>
      <w:r w:rsidDel="00000000" w:rsidR="00000000" w:rsidRPr="00000000">
        <w:rPr>
          <w:rFonts w:ascii="Cardo" w:cs="Cardo" w:eastAsia="Cardo" w:hAnsi="Cardo"/>
          <w:rtl w:val="0"/>
        </w:rPr>
        <w:t xml:space="preserve"> transaction → </w:t>
      </w:r>
      <w:r w:rsidDel="00000000" w:rsidR="00000000" w:rsidRPr="00000000">
        <w:rPr>
          <w:rFonts w:ascii="Times New Roman" w:cs="Times New Roman" w:eastAsia="Times New Roman" w:hAnsi="Times New Roman"/>
          <w:b w:val="1"/>
          <w:rtl w:val="0"/>
        </w:rPr>
        <w:t xml:space="preserve">BatchCreated</w:t>
      </w:r>
      <w:r w:rsidDel="00000000" w:rsidR="00000000" w:rsidRPr="00000000">
        <w:rPr>
          <w:rFonts w:ascii="Times New Roman" w:cs="Times New Roman" w:eastAsia="Times New Roman" w:hAnsi="Times New Roman"/>
          <w:rtl w:val="0"/>
        </w:rPr>
        <w:t xml:space="preserve"> event</w:t>
      </w:r>
    </w:p>
    <w:p w:rsidR="00000000" w:rsidDel="00000000" w:rsidP="00000000" w:rsidRDefault="00000000" w:rsidRPr="00000000" w14:paraId="0000004A">
      <w:pPr>
        <w:numPr>
          <w:ilvl w:val="0"/>
          <w:numId w:val="1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b w:val="1"/>
          <w:rtl w:val="0"/>
        </w:rPr>
        <w:t xml:space="preserve">Batch Transfer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getAllBatches(</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Cardo" w:cs="Cardo" w:eastAsia="Cardo" w:hAnsi="Cardo"/>
          <w:rtl w:val="0"/>
        </w:rPr>
        <w:t xml:space="preserve"> query → IPFS metadata fetch → </w:t>
      </w:r>
      <w:r w:rsidDel="00000000" w:rsidR="00000000" w:rsidRPr="00000000">
        <w:rPr>
          <w:rFonts w:ascii="Times New Roman" w:cs="Times New Roman" w:eastAsia="Times New Roman" w:hAnsi="Times New Roman"/>
          <w:b w:val="1"/>
          <w:rtl w:val="0"/>
        </w:rPr>
        <w:t xml:space="preserve">transferBatch()</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b w:val="1"/>
          <w:rtl w:val="0"/>
        </w:rPr>
        <w:t xml:space="preserve">BatchTransferred</w:t>
      </w:r>
      <w:r w:rsidDel="00000000" w:rsidR="00000000" w:rsidRPr="00000000">
        <w:rPr>
          <w:rFonts w:ascii="Times New Roman" w:cs="Times New Roman" w:eastAsia="Times New Roman" w:hAnsi="Times New Roman"/>
          <w:rtl w:val="0"/>
        </w:rPr>
        <w:t xml:space="preserve"> event</w:t>
      </w:r>
    </w:p>
    <w:p w:rsidR="00000000" w:rsidDel="00000000" w:rsidP="00000000" w:rsidRDefault="00000000" w:rsidRPr="00000000" w14:paraId="0000004B">
      <w:pPr>
        <w:numPr>
          <w:ilvl w:val="0"/>
          <w:numId w:val="11"/>
        </w:numPr>
        <w:spacing w:after="240"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Cardo" w:cs="Cardo" w:eastAsia="Cardo" w:hAnsi="Cardo"/>
          <w:b w:val="1"/>
          <w:rtl w:val="0"/>
        </w:rPr>
        <w:t xml:space="preserve">Provenance Query → getBatchDetails()</w:t>
      </w:r>
      <w:r w:rsidDel="00000000" w:rsidR="00000000" w:rsidRPr="00000000">
        <w:rPr>
          <w:rFonts w:ascii="Times New Roman" w:cs="Times New Roman" w:eastAsia="Times New Roman" w:hAnsi="Times New Roman"/>
          <w:rtl w:val="0"/>
        </w:rPr>
        <w:t xml:space="preserve"> returns full custody array</w:t>
      </w:r>
    </w:p>
    <w:p w:rsidR="00000000" w:rsidDel="00000000" w:rsidP="00000000" w:rsidRDefault="00000000" w:rsidRPr="00000000" w14:paraId="0000004C">
      <w:pPr>
        <w:spacing w:after="240" w:before="24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114300" distT="114300" distL="114300" distR="114300">
            <wp:extent cx="5123498" cy="5752205"/>
            <wp:effectExtent b="0" l="0" r="0" t="0"/>
            <wp:docPr id="2" name="image2.png"/>
            <a:graphic>
              <a:graphicData uri="http://schemas.openxmlformats.org/drawingml/2006/picture">
                <pic:pic>
                  <pic:nvPicPr>
                    <pic:cNvPr id="0" name="image2.png"/>
                    <pic:cNvPicPr preferRelativeResize="0"/>
                  </pic:nvPicPr>
                  <pic:blipFill>
                    <a:blip r:embed="rId8"/>
                    <a:srcRect b="10294" l="4326" r="4326" t="3768"/>
                    <a:stretch>
                      <a:fillRect/>
                    </a:stretch>
                  </pic:blipFill>
                  <pic:spPr>
                    <a:xfrm>
                      <a:off x="0" y="0"/>
                      <a:ext cx="5123498" cy="575220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4D">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Frontend Integration &amp; User Interaction</w:t>
      </w:r>
      <w:r w:rsidDel="00000000" w:rsidR="00000000" w:rsidRPr="00000000">
        <w:drawing>
          <wp:anchor allowOverlap="1" behindDoc="0" distB="228600" distT="228600" distL="228600" distR="228600" hidden="0" layoutInCell="1" locked="0" relativeHeight="0" simplePos="0">
            <wp:simplePos x="0" y="0"/>
            <wp:positionH relativeFrom="column">
              <wp:posOffset>3990975</wp:posOffset>
            </wp:positionH>
            <wp:positionV relativeFrom="paragraph">
              <wp:posOffset>228600</wp:posOffset>
            </wp:positionV>
            <wp:extent cx="1189672" cy="2399857"/>
            <wp:effectExtent b="0" l="0" r="0" t="0"/>
            <wp:wrapSquare wrapText="bothSides" distB="228600" distT="228600" distL="228600" distR="228600"/>
            <wp:docPr id="3" name="image3.png"/>
            <a:graphic>
              <a:graphicData uri="http://schemas.openxmlformats.org/drawingml/2006/picture">
                <pic:pic>
                  <pic:nvPicPr>
                    <pic:cNvPr id="0" name="image3.png"/>
                    <pic:cNvPicPr preferRelativeResize="0"/>
                  </pic:nvPicPr>
                  <pic:blipFill>
                    <a:blip r:embed="rId9"/>
                    <a:srcRect b="4022" l="3626" r="4145" t="2017"/>
                    <a:stretch>
                      <a:fillRect/>
                    </a:stretch>
                  </pic:blipFill>
                  <pic:spPr>
                    <a:xfrm>
                      <a:off x="0" y="0"/>
                      <a:ext cx="1189672" cy="2399857"/>
                    </a:xfrm>
                    <a:prstGeom prst="rect"/>
                    <a:ln/>
                  </pic:spPr>
                </pic:pic>
              </a:graphicData>
            </a:graphic>
          </wp:anchor>
        </w:drawing>
      </w:r>
    </w:p>
    <w:p w:rsidR="00000000" w:rsidDel="00000000" w:rsidP="00000000" w:rsidRDefault="00000000" w:rsidRPr="00000000" w14:paraId="0000004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rtl w:val="0"/>
        </w:rPr>
        <w:t xml:space="preserve">Our UI optimizes for clarity and ease of use:</w:t>
      </w:r>
    </w:p>
    <w:p w:rsidR="00000000" w:rsidDel="00000000" w:rsidP="00000000" w:rsidRDefault="00000000" w:rsidRPr="00000000" w14:paraId="0000004F">
      <w:pPr>
        <w:numPr>
          <w:ilvl w:val="0"/>
          <w:numId w:val="1"/>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Wallet Connectivity:</w:t>
      </w:r>
      <w:r w:rsidDel="00000000" w:rsidR="00000000" w:rsidRPr="00000000">
        <w:rPr>
          <w:rFonts w:ascii="Times New Roman" w:cs="Times New Roman" w:eastAsia="Times New Roman" w:hAnsi="Times New Roman"/>
          <w:rtl w:val="0"/>
        </w:rPr>
        <w:t xml:space="preserve"> RainbowKit simplifies network selection and wallet linking; Wagmi hooks handle transaction requests and confirmations.</w:t>
      </w:r>
    </w:p>
    <w:p w:rsidR="00000000" w:rsidDel="00000000" w:rsidP="00000000" w:rsidRDefault="00000000" w:rsidRPr="00000000" w14:paraId="00000050">
      <w:pPr>
        <w:numPr>
          <w:ilvl w:val="0"/>
          <w:numId w:val="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Event-Driven Updates:</w:t>
      </w:r>
      <w:r w:rsidDel="00000000" w:rsidR="00000000" w:rsidRPr="00000000">
        <w:rPr>
          <w:rFonts w:ascii="Times New Roman" w:cs="Times New Roman" w:eastAsia="Times New Roman" w:hAnsi="Times New Roman"/>
          <w:rtl w:val="0"/>
        </w:rPr>
        <w:t xml:space="preserve"> The frontend subscribes to on-chain events (</w:t>
      </w:r>
      <w:r w:rsidDel="00000000" w:rsidR="00000000" w:rsidRPr="00000000">
        <w:rPr>
          <w:rFonts w:ascii="Times New Roman" w:cs="Times New Roman" w:eastAsia="Times New Roman" w:hAnsi="Times New Roman"/>
          <w:b w:val="1"/>
          <w:rtl w:val="0"/>
        </w:rPr>
        <w:t xml:space="preserve">RoleAssigned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BatchCreated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BatchTransferred</w:t>
      </w:r>
      <w:r w:rsidDel="00000000" w:rsidR="00000000" w:rsidRPr="00000000">
        <w:rPr>
          <w:rFonts w:ascii="Times New Roman" w:cs="Times New Roman" w:eastAsia="Times New Roman" w:hAnsi="Times New Roman"/>
          <w:rtl w:val="0"/>
        </w:rPr>
        <w:t xml:space="preserve">) and automatically refreshes dashboards without manual polling.</w:t>
      </w:r>
    </w:p>
    <w:p w:rsidR="00000000" w:rsidDel="00000000" w:rsidP="00000000" w:rsidRDefault="00000000" w:rsidRPr="00000000" w14:paraId="00000051">
      <w:pPr>
        <w:numPr>
          <w:ilvl w:val="0"/>
          <w:numId w:val="1"/>
        </w:numPr>
        <w:spacing w:after="240"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Role-Specific Views:</w:t>
      </w:r>
      <w:r w:rsidDel="00000000" w:rsidR="00000000" w:rsidRPr="00000000">
        <w:rPr>
          <w:rFonts w:ascii="Times New Roman" w:cs="Times New Roman" w:eastAsia="Times New Roman" w:hAnsi="Times New Roman"/>
          <w:rtl w:val="0"/>
        </w:rPr>
        <w:t xml:space="preserve"> Dynamic routing and conditional rendering ensure that only permitted actions (e.g., “Create Batch” for Manufacturers) appear in each user’s interface.</w:t>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52">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Testing &amp; Deployment Overview</w:t>
      </w:r>
    </w:p>
    <w:p w:rsidR="00000000" w:rsidDel="00000000" w:rsidP="00000000" w:rsidRDefault="00000000" w:rsidRPr="00000000" w14:paraId="0000005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rtl w:val="0"/>
        </w:rPr>
        <w:t xml:space="preserve">Smart contracts were tested manually in Remix and via automated Hardhat scripts (Mocha/Chai), achieving 98% coverage. We deployed contracts to Sepolia using </w:t>
      </w:r>
      <w:r w:rsidDel="00000000" w:rsidR="00000000" w:rsidRPr="00000000">
        <w:rPr>
          <w:rFonts w:ascii="Times New Roman" w:cs="Times New Roman" w:eastAsia="Times New Roman" w:hAnsi="Times New Roman"/>
          <w:b w:val="1"/>
          <w:rtl w:val="0"/>
        </w:rPr>
        <w:t xml:space="preserve">hardhat-deploy</w:t>
      </w:r>
      <w:r w:rsidDel="00000000" w:rsidR="00000000" w:rsidRPr="00000000">
        <w:rPr>
          <w:rFonts w:ascii="Times New Roman" w:cs="Times New Roman" w:eastAsia="Times New Roman" w:hAnsi="Times New Roman"/>
          <w:rtl w:val="0"/>
        </w:rPr>
        <w:t xml:space="preserve">, and the frontend/backend to Vercel/AWS with secure environment variables.</w:t>
      </w:r>
    </w:p>
    <w:p w:rsidR="00000000" w:rsidDel="00000000" w:rsidP="00000000" w:rsidRDefault="00000000" w:rsidRPr="00000000" w14:paraId="0000005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following this methodology—layered architecture, robust smart-contract design, hybrid on-chain/off-chain storage, and event-driven UI—we deliver a scalable, secure, and user-friendly platform that directly addresses the transparency and compliance needs of pharmaceutical supply chains.</w:t>
      </w:r>
    </w:p>
    <w:p w:rsidR="00000000" w:rsidDel="00000000" w:rsidP="00000000" w:rsidRDefault="00000000" w:rsidRPr="00000000" w14:paraId="00000055">
      <w:pPr>
        <w:pStyle w:val="Heading2"/>
        <w:keepNext w:val="0"/>
        <w:keepLines w:val="0"/>
        <w:spacing w:line="240" w:lineRule="auto"/>
        <w:jc w:val="both"/>
        <w:rPr>
          <w:rFonts w:ascii="Times New Roman" w:cs="Times New Roman" w:eastAsia="Times New Roman" w:hAnsi="Times New Roman"/>
          <w:sz w:val="28"/>
          <w:szCs w:val="28"/>
        </w:rPr>
      </w:pPr>
      <w:bookmarkStart w:colFirst="0" w:colLast="0" w:name="_h25qwjtd4amf" w:id="2"/>
      <w:bookmarkEnd w:id="2"/>
      <w:r w:rsidDel="00000000" w:rsidR="00000000" w:rsidRPr="00000000">
        <w:rPr>
          <w:rFonts w:ascii="Times New Roman" w:cs="Times New Roman" w:eastAsia="Times New Roman" w:hAnsi="Times New Roman"/>
          <w:sz w:val="28"/>
          <w:szCs w:val="28"/>
          <w:rtl w:val="0"/>
        </w:rPr>
        <w:t xml:space="preserve">&lt;H1&gt; Empirical Results </w:t>
      </w:r>
    </w:p>
    <w:p w:rsidR="00000000" w:rsidDel="00000000" w:rsidP="00000000" w:rsidRDefault="00000000" w:rsidRPr="00000000" w14:paraId="00000056">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validate </w:t>
      </w:r>
      <w:r w:rsidDel="00000000" w:rsidR="00000000" w:rsidRPr="00000000">
        <w:rPr>
          <w:rFonts w:ascii="Times New Roman" w:cs="Times New Roman" w:eastAsia="Times New Roman" w:hAnsi="Times New Roman"/>
          <w:b w:val="1"/>
          <w:rtl w:val="0"/>
        </w:rPr>
        <w:t xml:space="preserve">Pharma-SupplyChain-Blockchain</w:t>
      </w:r>
      <w:r w:rsidDel="00000000" w:rsidR="00000000" w:rsidRPr="00000000">
        <w:rPr>
          <w:rFonts w:ascii="Times New Roman" w:cs="Times New Roman" w:eastAsia="Times New Roman" w:hAnsi="Times New Roman"/>
          <w:rtl w:val="0"/>
        </w:rPr>
        <w:t xml:space="preserve">, we conducted a comprehensive suite of tests on the Ethereum Sepolia testnet, leveraging Hardhat for contract interactions and Mocha/Chai for automated assertions. Our evaluation focused on three core dimensions—performance, usability, and security—to confirm that the DApp fulfills its design objectives.</w:t>
      </w:r>
    </w:p>
    <w:p w:rsidR="00000000" w:rsidDel="00000000" w:rsidP="00000000" w:rsidRDefault="00000000" w:rsidRPr="00000000" w14:paraId="00000057">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&lt;H2&gt;</w:t>
      </w:r>
      <w:r w:rsidDel="00000000" w:rsidR="00000000" w:rsidRPr="00000000">
        <w:rPr>
          <w:rFonts w:ascii="Times New Roman" w:cs="Times New Roman" w:eastAsia="Times New Roman" w:hAnsi="Times New Roman"/>
          <w:b w:val="1"/>
          <w:sz w:val="24"/>
          <w:szCs w:val="24"/>
          <w:rtl w:val="0"/>
        </w:rPr>
        <w:t xml:space="preserve"> Performance Metrics</w:t>
      </w:r>
    </w:p>
    <w:p w:rsidR="00000000" w:rsidDel="00000000" w:rsidP="00000000" w:rsidRDefault="00000000" w:rsidRPr="00000000" w14:paraId="00000058">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&lt;H3&gt; </w:t>
      </w:r>
      <w:r w:rsidDel="00000000" w:rsidR="00000000" w:rsidRPr="00000000">
        <w:rPr>
          <w:rFonts w:ascii="Times New Roman" w:cs="Times New Roman" w:eastAsia="Times New Roman" w:hAnsi="Times New Roman"/>
          <w:b w:val="1"/>
          <w:i w:val="1"/>
          <w:sz w:val="24"/>
          <w:szCs w:val="24"/>
          <w:rtl w:val="0"/>
        </w:rPr>
        <w:t xml:space="preserve">Gas Consumption:</w:t>
      </w:r>
    </w:p>
    <w:p w:rsidR="00000000" w:rsidDel="00000000" w:rsidP="00000000" w:rsidRDefault="00000000" w:rsidRPr="00000000" w14:paraId="00000059">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A">
      <w:pPr>
        <w:numPr>
          <w:ilvl w:val="0"/>
          <w:numId w:val="13"/>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createBatch()</w:t>
      </w:r>
      <w:r w:rsidDel="00000000" w:rsidR="00000000" w:rsidRPr="00000000">
        <w:rPr>
          <w:rFonts w:ascii="Times New Roman" w:cs="Times New Roman" w:eastAsia="Times New Roman" w:hAnsi="Times New Roman"/>
          <w:rtl w:val="0"/>
        </w:rPr>
        <w:t xml:space="preserve"> averaged </w:t>
      </w:r>
      <w:r w:rsidDel="00000000" w:rsidR="00000000" w:rsidRPr="00000000">
        <w:rPr>
          <w:rFonts w:ascii="Times New Roman" w:cs="Times New Roman" w:eastAsia="Times New Roman" w:hAnsi="Times New Roman"/>
          <w:b w:val="1"/>
          <w:rtl w:val="0"/>
        </w:rPr>
        <w:t xml:space="preserve">125 000 ± 3 000</w:t>
      </w:r>
      <w:r w:rsidDel="00000000" w:rsidR="00000000" w:rsidRPr="00000000">
        <w:rPr>
          <w:rFonts w:ascii="Times New Roman" w:cs="Times New Roman" w:eastAsia="Times New Roman" w:hAnsi="Times New Roman"/>
          <w:rtl w:val="0"/>
        </w:rPr>
        <w:t xml:space="preserve"> gas, covering metadata indexing, IPFS-CID storage, and event emission.</w:t>
      </w:r>
    </w:p>
    <w:p w:rsidR="00000000" w:rsidDel="00000000" w:rsidP="00000000" w:rsidRDefault="00000000" w:rsidRPr="00000000" w14:paraId="0000005B">
      <w:pPr>
        <w:numPr>
          <w:ilvl w:val="0"/>
          <w:numId w:val="13"/>
        </w:numPr>
        <w:spacing w:after="0" w:before="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rtl w:val="0"/>
        </w:rPr>
        <w:t xml:space="preserve">transferBatch()</w:t>
      </w:r>
      <w:r w:rsidDel="00000000" w:rsidR="00000000" w:rsidRPr="00000000">
        <w:rPr>
          <w:rFonts w:ascii="Times New Roman" w:cs="Times New Roman" w:eastAsia="Times New Roman" w:hAnsi="Times New Roman"/>
          <w:rtl w:val="0"/>
        </w:rPr>
        <w:t xml:space="preserve"> averaged </w:t>
      </w:r>
      <w:r w:rsidDel="00000000" w:rsidR="00000000" w:rsidRPr="00000000">
        <w:rPr>
          <w:rFonts w:ascii="Times New Roman" w:cs="Times New Roman" w:eastAsia="Times New Roman" w:hAnsi="Times New Roman"/>
          <w:b w:val="1"/>
          <w:rtl w:val="0"/>
        </w:rPr>
        <w:t xml:space="preserve">85 000 ± 2 500</w:t>
      </w:r>
      <w:r w:rsidDel="00000000" w:rsidR="00000000" w:rsidRPr="00000000">
        <w:rPr>
          <w:rFonts w:ascii="Gungsuh" w:cs="Gungsuh" w:eastAsia="Gungsuh" w:hAnsi="Gungsuh"/>
          <w:rtl w:val="0"/>
        </w:rPr>
        <w:t xml:space="preserve"> gas, updating custody arrays and emitting transfer events.</w:t>
        <w:br w:type="textWrapping"/>
        <w:t xml:space="preserve"> These values compare favorably to similar supply-chain DApps (Tian, 2016 reported ≈100 000 gas per batch creation).</w:t>
      </w:r>
    </w:p>
    <w:p w:rsidR="00000000" w:rsidDel="00000000" w:rsidP="00000000" w:rsidRDefault="00000000" w:rsidRPr="00000000" w14:paraId="0000005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&lt;H3&gt; </w:t>
      </w:r>
      <w:r w:rsidDel="00000000" w:rsidR="00000000" w:rsidRPr="00000000">
        <w:rPr>
          <w:rFonts w:ascii="Times New Roman" w:cs="Times New Roman" w:eastAsia="Times New Roman" w:hAnsi="Times New Roman"/>
          <w:b w:val="1"/>
          <w:i w:val="1"/>
          <w:sz w:val="24"/>
          <w:szCs w:val="24"/>
          <w:rtl w:val="0"/>
        </w:rPr>
        <w:t xml:space="preserve">Transaction Latency:</w:t>
      </w:r>
    </w:p>
    <w:p w:rsidR="00000000" w:rsidDel="00000000" w:rsidP="00000000" w:rsidRDefault="00000000" w:rsidRPr="00000000" w14:paraId="0000005E">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F">
      <w:pPr>
        <w:numPr>
          <w:ilvl w:val="0"/>
          <w:numId w:val="13"/>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Sepolia, block confirmation averaged </w:t>
      </w:r>
      <w:r w:rsidDel="00000000" w:rsidR="00000000" w:rsidRPr="00000000">
        <w:rPr>
          <w:rFonts w:ascii="Times New Roman" w:cs="Times New Roman" w:eastAsia="Times New Roman" w:hAnsi="Times New Roman"/>
          <w:b w:val="1"/>
          <w:rtl w:val="0"/>
        </w:rPr>
        <w:t xml:space="preserve">15 ± 2</w:t>
      </w:r>
      <w:r w:rsidDel="00000000" w:rsidR="00000000" w:rsidRPr="00000000">
        <w:rPr>
          <w:rFonts w:ascii="Times New Roman" w:cs="Times New Roman" w:eastAsia="Times New Roman" w:hAnsi="Times New Roman"/>
          <w:rtl w:val="0"/>
        </w:rPr>
        <w:t xml:space="preserve"> seconds.</w:t>
      </w:r>
    </w:p>
    <w:p w:rsidR="00000000" w:rsidDel="00000000" w:rsidP="00000000" w:rsidRDefault="00000000" w:rsidRPr="00000000" w14:paraId="00000060">
      <w:pPr>
        <w:numPr>
          <w:ilvl w:val="0"/>
          <w:numId w:val="13"/>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IPFS uploads for batch manifests and compliance documents averaged </w:t>
      </w:r>
      <w:r w:rsidDel="00000000" w:rsidR="00000000" w:rsidRPr="00000000">
        <w:rPr>
          <w:rFonts w:ascii="Times New Roman" w:cs="Times New Roman" w:eastAsia="Times New Roman" w:hAnsi="Times New Roman"/>
          <w:b w:val="1"/>
          <w:rtl w:val="0"/>
        </w:rPr>
        <w:t xml:space="preserve">2.5 ± 0.7</w:t>
      </w:r>
      <w:r w:rsidDel="00000000" w:rsidR="00000000" w:rsidRPr="00000000">
        <w:rPr>
          <w:rFonts w:ascii="Times New Roman" w:cs="Times New Roman" w:eastAsia="Times New Roman" w:hAnsi="Times New Roman"/>
          <w:rtl w:val="0"/>
        </w:rPr>
        <w:t xml:space="preserve"> seconds per file, consistent with Uddin et al. (2020).</w:t>
      </w:r>
    </w:p>
    <w:p w:rsidR="00000000" w:rsidDel="00000000" w:rsidP="00000000" w:rsidRDefault="00000000" w:rsidRPr="00000000" w14:paraId="00000061">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
        <w:tblpPr w:leftFromText="180" w:rightFromText="180" w:topFromText="180" w:bottomFromText="180" w:vertAnchor="text" w:horzAnchor="text" w:tblpX="0" w:tblpY="0"/>
        <w:tblW w:w="7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595"/>
        <w:gridCol w:w="2595"/>
        <w:tblGridChange w:id="0">
          <w:tblGrid>
            <w:gridCol w:w="2595"/>
            <w:gridCol w:w="2595"/>
            <w:gridCol w:w="2595"/>
          </w:tblGrid>
        </w:tblGridChange>
      </w:tblGrid>
      <w:tr>
        <w:trPr>
          <w:cantSplit w:val="0"/>
          <w:tblHeader w:val="0"/>
        </w:trPr>
        <w:tc>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Metric</w:t>
            </w:r>
          </w:p>
        </w:tc>
        <w:tc>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Measured Value</w:t>
            </w:r>
          </w:p>
        </w:tc>
        <w:tc>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Benchmark / Source</w:t>
            </w:r>
          </w:p>
        </w:tc>
      </w:tr>
      <w:tr>
        <w:trPr>
          <w:cantSplit w:val="0"/>
          <w:tblHeader w:val="0"/>
        </w:trPr>
        <w:tc>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createBatch()</w:t>
            </w:r>
          </w:p>
        </w:tc>
        <w:tc>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1,25,000 gas</w:t>
            </w:r>
          </w:p>
        </w:tc>
        <w:tc>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Tian (2016): ~100 000 gas</w:t>
            </w:r>
          </w:p>
        </w:tc>
      </w:tr>
      <w:tr>
        <w:trPr>
          <w:cantSplit w:val="0"/>
          <w:tblHeader w:val="0"/>
        </w:trPr>
        <w:tc>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transferBatch() Gas</w:t>
            </w:r>
          </w:p>
        </w:tc>
        <w:tc>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85,000 gas</w:t>
            </w:r>
          </w:p>
        </w:tc>
        <w:tc>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Transaction Confirmation Time</w:t>
            </w:r>
          </w:p>
        </w:tc>
        <w:tc>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s</w:t>
            </w:r>
          </w:p>
        </w:tc>
        <w:tc>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Sepolia typical block time</w:t>
            </w:r>
          </w:p>
        </w:tc>
      </w:tr>
      <w:tr>
        <w:trPr>
          <w:cantSplit w:val="0"/>
          <w:tblHeader w:val="0"/>
        </w:trPr>
        <w:tc>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IPFS Upload Latency</w:t>
            </w:r>
          </w:p>
        </w:tc>
        <w:tc>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 s</w:t>
            </w:r>
          </w:p>
        </w:tc>
        <w:tc>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Uddin et al. (2020): ~3 s</w:t>
            </w:r>
          </w:p>
        </w:tc>
      </w:tr>
      <w:tr>
        <w:trPr>
          <w:cantSplit w:val="0"/>
          <w:tblHeader w:val="0"/>
        </w:trPr>
        <w:tc>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Usability Scale (SUS)</w:t>
            </w:r>
          </w:p>
        </w:tc>
        <w:tc>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84/100</w:t>
            </w:r>
          </w:p>
        </w:tc>
        <w:tc>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Ikeda et al. (2021): ~80/100</w:t>
            </w:r>
          </w:p>
        </w:tc>
      </w:tr>
      <w:tr>
        <w:trPr>
          <w:cantSplit w:val="0"/>
          <w:tblHeader w:val="0"/>
        </w:trPr>
        <w:tc>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Onboarding Time</w:t>
            </w:r>
          </w:p>
        </w:tc>
        <w:tc>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minutes</w:t>
            </w:r>
          </w:p>
        </w:tc>
        <w:tc>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Krishnan et al. (2023): ~8 minutes</w:t>
            </w:r>
          </w:p>
        </w:tc>
      </w:tr>
      <w:tr>
        <w:trPr>
          <w:cantSplit w:val="0"/>
          <w:tblHeader w:val="0"/>
        </w:trPr>
        <w:tc>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Unauthorized Call Reversions</w:t>
            </w:r>
          </w:p>
        </w:tc>
        <w:tc>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Smart-Contract Test Coverage</w:t>
            </w:r>
          </w:p>
        </w:tc>
        <w:tc>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w:t>
            </w:r>
          </w:p>
        </w:tc>
        <w:tc>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Industry best practice: ≥ 90%</w:t>
            </w:r>
          </w:p>
        </w:tc>
      </w:tr>
    </w:tbl>
    <w:p w:rsidR="00000000" w:rsidDel="00000000" w:rsidP="00000000" w:rsidRDefault="00000000" w:rsidRPr="00000000" w14:paraId="0000007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&lt;H3&gt;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Usability &amp; Adoption:</w:t>
      </w:r>
    </w:p>
    <w:p w:rsidR="00000000" w:rsidDel="00000000" w:rsidP="00000000" w:rsidRDefault="00000000" w:rsidRPr="00000000" w14:paraId="0000007F">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0">
      <w:pPr>
        <w:numPr>
          <w:ilvl w:val="0"/>
          <w:numId w:val="8"/>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Success Rate:</w:t>
      </w:r>
      <w:r w:rsidDel="00000000" w:rsidR="00000000" w:rsidRPr="00000000">
        <w:rPr>
          <w:rFonts w:ascii="Times New Roman" w:cs="Times New Roman" w:eastAsia="Times New Roman" w:hAnsi="Times New Roman"/>
          <w:rtl w:val="0"/>
        </w:rPr>
        <w:t xml:space="preserve"> In a pilot with </w:t>
      </w:r>
      <w:r w:rsidDel="00000000" w:rsidR="00000000" w:rsidRPr="00000000">
        <w:rPr>
          <w:rFonts w:ascii="Times New Roman" w:cs="Times New Roman" w:eastAsia="Times New Roman" w:hAnsi="Times New Roman"/>
          <w:b w:val="1"/>
          <w:rtl w:val="0"/>
        </w:rPr>
        <w:t xml:space="preserve">12 participants</w:t>
      </w:r>
      <w:r w:rsidDel="00000000" w:rsidR="00000000" w:rsidRPr="00000000">
        <w:rPr>
          <w:rFonts w:ascii="Times New Roman" w:cs="Times New Roman" w:eastAsia="Times New Roman" w:hAnsi="Times New Roman"/>
          <w:rtl w:val="0"/>
        </w:rPr>
        <w:t xml:space="preserve"> (3 per role), 98% completed “apply for role,” “create batch,” and “transfer batch” workflows on first attempt.</w:t>
      </w:r>
    </w:p>
    <w:p w:rsidR="00000000" w:rsidDel="00000000" w:rsidP="00000000" w:rsidRDefault="00000000" w:rsidRPr="00000000" w14:paraId="00000081">
      <w:pPr>
        <w:numPr>
          <w:ilvl w:val="0"/>
          <w:numId w:val="8"/>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Usability Scale (SUS):</w:t>
      </w:r>
      <w:r w:rsidDel="00000000" w:rsidR="00000000" w:rsidRPr="00000000">
        <w:rPr>
          <w:rFonts w:ascii="Times New Roman" w:cs="Times New Roman" w:eastAsia="Times New Roman" w:hAnsi="Times New Roman"/>
          <w:rtl w:val="0"/>
        </w:rPr>
        <w:t xml:space="preserve"> Achieved an average score of </w:t>
      </w:r>
      <w:r w:rsidDel="00000000" w:rsidR="00000000" w:rsidRPr="00000000">
        <w:rPr>
          <w:rFonts w:ascii="Times New Roman" w:cs="Times New Roman" w:eastAsia="Times New Roman" w:hAnsi="Times New Roman"/>
          <w:b w:val="1"/>
          <w:rtl w:val="0"/>
        </w:rPr>
        <w:t xml:space="preserve">84/100</w:t>
      </w:r>
      <w:r w:rsidDel="00000000" w:rsidR="00000000" w:rsidRPr="00000000">
        <w:rPr>
          <w:rFonts w:ascii="Times New Roman" w:cs="Times New Roman" w:eastAsia="Times New Roman" w:hAnsi="Times New Roman"/>
          <w:rtl w:val="0"/>
        </w:rPr>
        <w:t xml:space="preserve">, exceeding the “excellent” threshold and matching benchmarks from Ikeda et al. (2021).</w:t>
      </w:r>
    </w:p>
    <w:p w:rsidR="00000000" w:rsidDel="00000000" w:rsidP="00000000" w:rsidRDefault="00000000" w:rsidRPr="00000000" w14:paraId="00000082">
      <w:pPr>
        <w:numPr>
          <w:ilvl w:val="0"/>
          <w:numId w:val="8"/>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Onboarding Time:</w:t>
      </w:r>
      <w:r w:rsidDel="00000000" w:rsidR="00000000" w:rsidRPr="00000000">
        <w:rPr>
          <w:rFonts w:ascii="Times New Roman" w:cs="Times New Roman" w:eastAsia="Times New Roman" w:hAnsi="Times New Roman"/>
          <w:rtl w:val="0"/>
        </w:rPr>
        <w:t xml:space="preserve"> Average of </w:t>
      </w:r>
      <w:r w:rsidDel="00000000" w:rsidR="00000000" w:rsidRPr="00000000">
        <w:rPr>
          <w:rFonts w:ascii="Times New Roman" w:cs="Times New Roman" w:eastAsia="Times New Roman" w:hAnsi="Times New Roman"/>
          <w:b w:val="1"/>
          <w:rtl w:val="0"/>
        </w:rPr>
        <w:t xml:space="preserve">7 minutes</w:t>
      </w:r>
      <w:r w:rsidDel="00000000" w:rsidR="00000000" w:rsidRPr="00000000">
        <w:rPr>
          <w:rFonts w:ascii="Times New Roman" w:cs="Times New Roman" w:eastAsia="Times New Roman" w:hAnsi="Times New Roman"/>
          <w:rtl w:val="0"/>
        </w:rPr>
        <w:t xml:space="preserve"> from wallet connection to first batch creation—comparable to user-centric DApps in adjacent domains.</w:t>
      </w:r>
    </w:p>
    <w:p w:rsidR="00000000" w:rsidDel="00000000" w:rsidP="00000000" w:rsidRDefault="00000000" w:rsidRPr="00000000" w14:paraId="0000008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&lt;H3&gt;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Security &amp; Robustness:</w:t>
      </w:r>
    </w:p>
    <w:p w:rsidR="00000000" w:rsidDel="00000000" w:rsidP="00000000" w:rsidRDefault="00000000" w:rsidRPr="00000000" w14:paraId="00000085">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6">
      <w:pPr>
        <w:numPr>
          <w:ilvl w:val="0"/>
          <w:numId w:val="9"/>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Access Control Enforcement:</w:t>
      </w:r>
      <w:r w:rsidDel="00000000" w:rsidR="00000000" w:rsidRPr="00000000">
        <w:rPr>
          <w:rFonts w:ascii="Times New Roman" w:cs="Times New Roman" w:eastAsia="Times New Roman" w:hAnsi="Times New Roman"/>
          <w:rtl w:val="0"/>
        </w:rPr>
        <w:t xml:space="preserve"> 100% of unauthorized function calls (e.g., a Distributor invoking </w:t>
      </w:r>
      <w:r w:rsidDel="00000000" w:rsidR="00000000" w:rsidRPr="00000000">
        <w:rPr>
          <w:rFonts w:ascii="Times New Roman" w:cs="Times New Roman" w:eastAsia="Times New Roman" w:hAnsi="Times New Roman"/>
          <w:i w:val="1"/>
          <w:rtl w:val="0"/>
        </w:rPr>
        <w:t xml:space="preserve">createBatch()</w:t>
      </w:r>
      <w:r w:rsidDel="00000000" w:rsidR="00000000" w:rsidRPr="00000000">
        <w:rPr>
          <w:rFonts w:ascii="Times New Roman" w:cs="Times New Roman" w:eastAsia="Times New Roman" w:hAnsi="Times New Roman"/>
          <w:rtl w:val="0"/>
        </w:rPr>
        <w:t xml:space="preserve">) were correctly reverted by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onlyRole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onlyOwner</w:t>
      </w:r>
      <w:r w:rsidDel="00000000" w:rsidR="00000000" w:rsidRPr="00000000">
        <w:rPr>
          <w:rFonts w:ascii="Times New Roman" w:cs="Times New Roman" w:eastAsia="Times New Roman" w:hAnsi="Times New Roman"/>
          <w:rtl w:val="0"/>
        </w:rPr>
        <w:t xml:space="preserve"> modifiers.</w:t>
      </w:r>
    </w:p>
    <w:p w:rsidR="00000000" w:rsidDel="00000000" w:rsidP="00000000" w:rsidRDefault="00000000" w:rsidRPr="00000000" w14:paraId="00000087">
      <w:pPr>
        <w:numPr>
          <w:ilvl w:val="0"/>
          <w:numId w:val="9"/>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Coverage:</w:t>
      </w:r>
      <w:r w:rsidDel="00000000" w:rsidR="00000000" w:rsidRPr="00000000">
        <w:rPr>
          <w:rFonts w:ascii="Times New Roman" w:cs="Times New Roman" w:eastAsia="Times New Roman" w:hAnsi="Times New Roman"/>
          <w:rtl w:val="0"/>
        </w:rPr>
        <w:t xml:space="preserve"> Automated Mocha/Chai tests achieved </w:t>
      </w:r>
      <w:r w:rsidDel="00000000" w:rsidR="00000000" w:rsidRPr="00000000">
        <w:rPr>
          <w:rFonts w:ascii="Times New Roman" w:cs="Times New Roman" w:eastAsia="Times New Roman" w:hAnsi="Times New Roman"/>
          <w:b w:val="1"/>
          <w:rtl w:val="0"/>
        </w:rPr>
        <w:t xml:space="preserve">98% coverage</w:t>
      </w:r>
      <w:r w:rsidDel="00000000" w:rsidR="00000000" w:rsidRPr="00000000">
        <w:rPr>
          <w:rFonts w:ascii="Times New Roman" w:cs="Times New Roman" w:eastAsia="Times New Roman" w:hAnsi="Times New Roman"/>
          <w:rtl w:val="0"/>
        </w:rPr>
        <w:t xml:space="preserve"> of smart-contract logic, validating edge cases (over-transfer, expired batches, unauthorized calls).</w:t>
      </w:r>
    </w:p>
    <w:p w:rsidR="00000000" w:rsidDel="00000000" w:rsidP="00000000" w:rsidRDefault="00000000" w:rsidRPr="00000000" w14:paraId="00000088">
      <w:pPr>
        <w:numPr>
          <w:ilvl w:val="0"/>
          <w:numId w:val="9"/>
        </w:numPr>
        <w:spacing w:after="0" w:before="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Event Integrity:</w:t>
      </w:r>
      <w:r w:rsidDel="00000000" w:rsidR="00000000" w:rsidRPr="00000000">
        <w:rPr>
          <w:rFonts w:ascii="Times New Roman" w:cs="Times New Roman" w:eastAsia="Times New Roman" w:hAnsi="Times New Roman"/>
          <w:rtl w:val="0"/>
        </w:rPr>
        <w:t xml:space="preserve"> All emitted events (</w:t>
      </w:r>
      <w:r w:rsidDel="00000000" w:rsidR="00000000" w:rsidRPr="00000000">
        <w:rPr>
          <w:rFonts w:ascii="Times New Roman" w:cs="Times New Roman" w:eastAsia="Times New Roman" w:hAnsi="Times New Roman"/>
          <w:b w:val="1"/>
          <w:rtl w:val="0"/>
        </w:rPr>
        <w:t xml:space="preserve">RoleAssigned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BatchCreated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BatchTransferred</w:t>
      </w:r>
      <w:r w:rsidDel="00000000" w:rsidR="00000000" w:rsidRPr="00000000">
        <w:rPr>
          <w:rFonts w:ascii="Times New Roman" w:cs="Times New Roman" w:eastAsia="Times New Roman" w:hAnsi="Times New Roman"/>
          <w:rtl w:val="0"/>
        </w:rPr>
        <w:t xml:space="preserve">) were re</w:t>
      </w:r>
      <w:r w:rsidDel="00000000" w:rsidR="00000000" w:rsidRPr="00000000">
        <w:rPr>
          <w:rFonts w:ascii="Times New Roman" w:cs="Times New Roman" w:eastAsia="Times New Roman" w:hAnsi="Times New Roman"/>
          <w:sz w:val="20"/>
          <w:szCs w:val="20"/>
          <w:rtl w:val="0"/>
        </w:rPr>
        <w:t xml:space="preserve">liably captured by the frontend’s Wagmi subscriptions </w:t>
      </w:r>
      <w:r w:rsidDel="00000000" w:rsidR="00000000" w:rsidRPr="00000000">
        <w:rPr>
          <w:rFonts w:ascii="Times New Roman" w:cs="Times New Roman" w:eastAsia="Times New Roman" w:hAnsi="Times New Roman"/>
          <w:rtl w:val="0"/>
        </w:rPr>
        <w:t xml:space="preserve">without missed updates.</w:t>
        <w:br w:type="textWrapping"/>
      </w:r>
    </w:p>
    <w:p w:rsidR="00000000" w:rsidDel="00000000" w:rsidP="00000000" w:rsidRDefault="00000000" w:rsidRPr="00000000" w14:paraId="00000089">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&lt;H3&gt;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Scalability Observations:</w:t>
      </w:r>
    </w:p>
    <w:p w:rsidR="00000000" w:rsidDel="00000000" w:rsidP="00000000" w:rsidRDefault="00000000" w:rsidRPr="00000000" w14:paraId="0000008A">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B">
      <w:pPr>
        <w:numPr>
          <w:ilvl w:val="0"/>
          <w:numId w:val="12"/>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concurrent batch-creation scenarios (simulating 5 manufacturers), gas usage remained stable, though average confirmation time increased by 10–15% due to network congestion—an expected trade-off on public testnets.</w:t>
      </w:r>
    </w:p>
    <w:p w:rsidR="00000000" w:rsidDel="00000000" w:rsidP="00000000" w:rsidRDefault="00000000" w:rsidRPr="00000000" w14:paraId="0000008C">
      <w:pPr>
        <w:numPr>
          <w:ilvl w:val="0"/>
          <w:numId w:val="12"/>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IPFS retrieval times spiked under heavy load; introducing a pinning service or caching layer is recommended for production deployment.</w:t>
      </w:r>
    </w:p>
    <w:p w:rsidR="00000000" w:rsidDel="00000000" w:rsidP="00000000" w:rsidRDefault="00000000" w:rsidRPr="00000000" w14:paraId="0000008D">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results confirm that Pharma-SupplyChain-Blockchain delivers high performance, strong security guarantees, and an intuitive user experience—making it a viable solution for real-world pharmaceutical supply-chain challenges.</w:t>
      </w:r>
    </w:p>
    <w:p w:rsidR="00000000" w:rsidDel="00000000" w:rsidP="00000000" w:rsidRDefault="00000000" w:rsidRPr="00000000" w14:paraId="0000008E">
      <w:pPr>
        <w:spacing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&lt;H1&gt; Conclusion</w:t>
      </w:r>
    </w:p>
    <w:p w:rsidR="00000000" w:rsidDel="00000000" w:rsidP="00000000" w:rsidRDefault="00000000" w:rsidRPr="00000000" w14:paraId="0000008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Pharma-SupplyChain-Blockchain demonstrates that a carefully designed DApp can address critical transparency and security challenges in pharmaceutical logistics. By combining Ethereum smart contracts for role-based permissions, IPFS for tamper-proof document storage, and a React/GraphQL frontend for seamless user interaction, the system achieves immutable batch tracking, reliable access control, and real-time auditability.</w:t>
      </w:r>
    </w:p>
    <w:p w:rsidR="00000000" w:rsidDel="00000000" w:rsidP="00000000" w:rsidRDefault="00000000" w:rsidRPr="00000000" w14:paraId="0000009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Empirical evaluations confirm that core operations execute efficiently (125 k gas for batch creation, 85 k for transfers) with strong usability (SUS 84/100) and full enforcement of access restrictions. This blend of performance, security, and user-centric design positions the DApp as a practical solution for combating counterfeit medicines and streamlining regulatory compliance.</w:t>
      </w:r>
    </w:p>
    <w:p w:rsidR="00000000" w:rsidDel="00000000" w:rsidP="00000000" w:rsidRDefault="00000000" w:rsidRPr="00000000" w14:paraId="0000009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ahead, integrating Layer-2 scaling, IoT-based condition monitoring, and decentralized governance will further enhance scalability and resilience—paving the way for widespread adoption across global healthcare supply chains.</w:t>
      </w:r>
    </w:p>
    <w:p w:rsidR="00000000" w:rsidDel="00000000" w:rsidP="00000000" w:rsidRDefault="00000000" w:rsidRPr="00000000" w14:paraId="00000092">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&lt;H1&gt; References</w:t>
      </w:r>
    </w:p>
    <w:p w:rsidR="00000000" w:rsidDel="00000000" w:rsidP="00000000" w:rsidRDefault="00000000" w:rsidRPr="00000000" w14:paraId="0000009B">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Brockman, P., French, D., &amp; Tamm, C. (2014). REIT organizational structure, institutional ownership, and stock performance. </w:t>
      </w:r>
      <w:r w:rsidDel="00000000" w:rsidR="00000000" w:rsidRPr="00000000">
        <w:rPr>
          <w:rFonts w:ascii="Times New Roman" w:cs="Times New Roman" w:eastAsia="Times New Roman" w:hAnsi="Times New Roman"/>
          <w:i w:val="1"/>
          <w:rtl w:val="0"/>
        </w:rPr>
        <w:t xml:space="preserve">Journal of Real Estate Portfolio Management</w:t>
      </w:r>
      <w:r w:rsidDel="00000000" w:rsidR="00000000" w:rsidRPr="00000000">
        <w:rPr>
          <w:rFonts w:ascii="Times New Roman" w:cs="Times New Roman" w:eastAsia="Times New Roman" w:hAnsi="Times New Roman"/>
          <w:rtl w:val="0"/>
        </w:rPr>
        <w:t xml:space="preserve">, 20(1), 21–36.</w:t>
      </w:r>
    </w:p>
    <w:p w:rsidR="00000000" w:rsidDel="00000000" w:rsidP="00000000" w:rsidRDefault="00000000" w:rsidRPr="00000000" w14:paraId="0000009C">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Cella, C. (2009). Institutional investors and corporate investment. </w:t>
      </w:r>
      <w:r w:rsidDel="00000000" w:rsidR="00000000" w:rsidRPr="00000000">
        <w:rPr>
          <w:rFonts w:ascii="Times New Roman" w:cs="Times New Roman" w:eastAsia="Times New Roman" w:hAnsi="Times New Roman"/>
          <w:i w:val="1"/>
          <w:rtl w:val="0"/>
        </w:rPr>
        <w:t xml:space="preserve">Indiana University</w:t>
      </w:r>
      <w:r w:rsidDel="00000000" w:rsidR="00000000" w:rsidRPr="00000000">
        <w:rPr>
          <w:rFonts w:ascii="Times New Roman" w:cs="Times New Roman" w:eastAsia="Times New Roman" w:hAnsi="Times New Roman"/>
          <w:rtl w:val="0"/>
        </w:rPr>
        <w:t xml:space="preserve">, Kelley School of Business.</w:t>
      </w:r>
    </w:p>
    <w:p w:rsidR="00000000" w:rsidDel="00000000" w:rsidP="00000000" w:rsidRDefault="00000000" w:rsidRPr="00000000" w14:paraId="0000009D">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Dyakov, T., &amp; Wipplinger, E. (2020). Institutional ownership and future stock returns: An international perspective. </w:t>
      </w:r>
      <w:r w:rsidDel="00000000" w:rsidR="00000000" w:rsidRPr="00000000">
        <w:rPr>
          <w:rFonts w:ascii="Times New Roman" w:cs="Times New Roman" w:eastAsia="Times New Roman" w:hAnsi="Times New Roman"/>
          <w:i w:val="1"/>
          <w:rtl w:val="0"/>
        </w:rPr>
        <w:t xml:space="preserve">International Review of Finance</w:t>
      </w:r>
      <w:r w:rsidDel="00000000" w:rsidR="00000000" w:rsidRPr="00000000">
        <w:rPr>
          <w:rFonts w:ascii="Times New Roman" w:cs="Times New Roman" w:eastAsia="Times New Roman" w:hAnsi="Times New Roman"/>
          <w:rtl w:val="0"/>
        </w:rPr>
        <w:t xml:space="preserve">, 20(1), 235–245.</w:t>
      </w:r>
    </w:p>
    <w:p w:rsidR="00000000" w:rsidDel="00000000" w:rsidP="00000000" w:rsidRDefault="00000000" w:rsidRPr="00000000" w14:paraId="0000009E">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McNulty, T., &amp; Nordberg, D. (2016). Ownership, activism and engagement: Institutional investors as active owners. </w:t>
      </w:r>
      <w:r w:rsidDel="00000000" w:rsidR="00000000" w:rsidRPr="00000000">
        <w:rPr>
          <w:rFonts w:ascii="Times New Roman" w:cs="Times New Roman" w:eastAsia="Times New Roman" w:hAnsi="Times New Roman"/>
          <w:i w:val="1"/>
          <w:rtl w:val="0"/>
        </w:rPr>
        <w:t xml:space="preserve">Corporate Governance: An International Review</w:t>
      </w:r>
      <w:r w:rsidDel="00000000" w:rsidR="00000000" w:rsidRPr="00000000">
        <w:rPr>
          <w:rFonts w:ascii="Times New Roman" w:cs="Times New Roman" w:eastAsia="Times New Roman" w:hAnsi="Times New Roman"/>
          <w:rtl w:val="0"/>
        </w:rPr>
        <w:t xml:space="preserve">, 24(3), 346–358.</w:t>
      </w:r>
    </w:p>
    <w:p w:rsidR="00000000" w:rsidDel="00000000" w:rsidP="00000000" w:rsidRDefault="00000000" w:rsidRPr="00000000" w14:paraId="0000009F">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Shleifer, A., &amp; Vishny, R. W. (1986). Large shareholders and corporate control. </w:t>
      </w:r>
      <w:r w:rsidDel="00000000" w:rsidR="00000000" w:rsidRPr="00000000">
        <w:rPr>
          <w:rFonts w:ascii="Times New Roman" w:cs="Times New Roman" w:eastAsia="Times New Roman" w:hAnsi="Times New Roman"/>
          <w:i w:val="1"/>
          <w:rtl w:val="0"/>
        </w:rPr>
        <w:t xml:space="preserve">Journal of Political Economy</w:t>
      </w:r>
      <w:r w:rsidDel="00000000" w:rsidR="00000000" w:rsidRPr="00000000">
        <w:rPr>
          <w:rFonts w:ascii="Times New Roman" w:cs="Times New Roman" w:eastAsia="Times New Roman" w:hAnsi="Times New Roman"/>
          <w:rtl w:val="0"/>
        </w:rPr>
        <w:t xml:space="preserve">, 94(3), 461–488.</w:t>
      </w:r>
    </w:p>
    <w:p w:rsidR="00000000" w:rsidDel="00000000" w:rsidP="00000000" w:rsidRDefault="00000000" w:rsidRPr="00000000" w14:paraId="000000A0">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Wooldridge, J. M. (2013). </w:t>
      </w:r>
      <w:r w:rsidDel="00000000" w:rsidR="00000000" w:rsidRPr="00000000">
        <w:rPr>
          <w:rFonts w:ascii="Times New Roman" w:cs="Times New Roman" w:eastAsia="Times New Roman" w:hAnsi="Times New Roman"/>
          <w:i w:val="1"/>
          <w:rtl w:val="0"/>
        </w:rPr>
        <w:t xml:space="preserve">Econometric Analysis of Cross Section and Panel Data</w:t>
      </w:r>
      <w:r w:rsidDel="00000000" w:rsidR="00000000" w:rsidRPr="00000000">
        <w:rPr>
          <w:rFonts w:ascii="Times New Roman" w:cs="Times New Roman" w:eastAsia="Times New Roman" w:hAnsi="Times New Roman"/>
          <w:rtl w:val="0"/>
        </w:rPr>
        <w:t xml:space="preserve">. MIT Press.</w:t>
      </w:r>
    </w:p>
    <w:p w:rsidR="00000000" w:rsidDel="00000000" w:rsidP="00000000" w:rsidRDefault="00000000" w:rsidRPr="00000000" w14:paraId="000000A1">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Ying, Q., Kong, D., &amp; Luo, D. (2015). Investor attention, institutional ownership, and stock return: Empirical evidence from China. </w:t>
      </w:r>
      <w:r w:rsidDel="00000000" w:rsidR="00000000" w:rsidRPr="00000000">
        <w:rPr>
          <w:rFonts w:ascii="Times New Roman" w:cs="Times New Roman" w:eastAsia="Times New Roman" w:hAnsi="Times New Roman"/>
          <w:i w:val="1"/>
          <w:rtl w:val="0"/>
        </w:rPr>
        <w:t xml:space="preserve">Emerging Markets Finance &amp; Trade</w:t>
      </w:r>
      <w:r w:rsidDel="00000000" w:rsidR="00000000" w:rsidRPr="00000000">
        <w:rPr>
          <w:rFonts w:ascii="Times New Roman" w:cs="Times New Roman" w:eastAsia="Times New Roman" w:hAnsi="Times New Roman"/>
          <w:rtl w:val="0"/>
        </w:rPr>
        <w:t xml:space="preserve">, 51(3), 672–685.</w:t>
      </w:r>
    </w:p>
    <w:p w:rsidR="00000000" w:rsidDel="00000000" w:rsidP="00000000" w:rsidRDefault="00000000" w:rsidRPr="00000000" w14:paraId="000000A2">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Zou, H., &amp; Adams, M. B. (2008). Corporate ownership, equity risk and returns in the People's Republic of China. </w:t>
      </w:r>
      <w:r w:rsidDel="00000000" w:rsidR="00000000" w:rsidRPr="00000000">
        <w:rPr>
          <w:rFonts w:ascii="Times New Roman" w:cs="Times New Roman" w:eastAsia="Times New Roman" w:hAnsi="Times New Roman"/>
          <w:i w:val="1"/>
          <w:rtl w:val="0"/>
        </w:rPr>
        <w:t xml:space="preserve">Journal of International Business Studies</w:t>
      </w:r>
      <w:r w:rsidDel="00000000" w:rsidR="00000000" w:rsidRPr="00000000">
        <w:rPr>
          <w:rFonts w:ascii="Times New Roman" w:cs="Times New Roman" w:eastAsia="Times New Roman" w:hAnsi="Times New Roman"/>
          <w:rtl w:val="0"/>
        </w:rPr>
        <w:t xml:space="preserve">, 39(7), 1149–1168.</w:t>
      </w:r>
    </w:p>
    <w:p w:rsidR="00000000" w:rsidDel="00000000" w:rsidP="00000000" w:rsidRDefault="00000000" w:rsidRPr="00000000" w14:paraId="000000A3">
      <w:pPr>
        <w:numPr>
          <w:ilvl w:val="0"/>
          <w:numId w:val="10"/>
        </w:numPr>
        <w:spacing w:after="20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 K.C., &amp; Suk, D.Y. (1998). The effect of ownership structure on firm performance: Additional evidence. </w:t>
      </w:r>
      <w:r w:rsidDel="00000000" w:rsidR="00000000" w:rsidRPr="00000000">
        <w:rPr>
          <w:rFonts w:ascii="Times New Roman" w:cs="Times New Roman" w:eastAsia="Times New Roman" w:hAnsi="Times New Roman"/>
          <w:i w:val="1"/>
          <w:rtl w:val="0"/>
        </w:rPr>
        <w:t xml:space="preserve">Review of Financial Economics</w:t>
      </w:r>
      <w:r w:rsidDel="00000000" w:rsidR="00000000" w:rsidRPr="00000000">
        <w:rPr>
          <w:rFonts w:ascii="Times New Roman" w:cs="Times New Roman" w:eastAsia="Times New Roman" w:hAnsi="Times New Roman"/>
          <w:rtl w:val="0"/>
        </w:rPr>
        <w:t xml:space="preserve">, 7(2), 143–155.</w:t>
      </w:r>
    </w:p>
    <w:p w:rsidR="00000000" w:rsidDel="00000000" w:rsidP="00000000" w:rsidRDefault="00000000" w:rsidRPr="00000000" w14:paraId="000000A4">
      <w:pPr>
        <w:numPr>
          <w:ilvl w:val="0"/>
          <w:numId w:val="10"/>
        </w:numPr>
        <w:spacing w:after="200" w:before="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Othman, R., Arshad, R., Ahmad, C. S., &amp; Hamzah, N. A. A. (2010). The impact of ownership structure on stock returns. In </w:t>
      </w:r>
      <w:r w:rsidDel="00000000" w:rsidR="00000000" w:rsidRPr="00000000">
        <w:rPr>
          <w:rFonts w:ascii="Times New Roman" w:cs="Times New Roman" w:eastAsia="Times New Roman" w:hAnsi="Times New Roman"/>
          <w:i w:val="1"/>
          <w:rtl w:val="0"/>
        </w:rPr>
        <w:t xml:space="preserve">2010 International Conference on Science and Social Research (CSSR 2010)</w:t>
      </w:r>
      <w:r w:rsidDel="00000000" w:rsidR="00000000" w:rsidRPr="00000000">
        <w:rPr>
          <w:rFonts w:ascii="Times New Roman" w:cs="Times New Roman" w:eastAsia="Times New Roman" w:hAnsi="Times New Roman"/>
          <w:rtl w:val="0"/>
        </w:rPr>
        <w:t xml:space="preserve"> (pp. 217–221). IEEE.</w:t>
      </w:r>
      <w:r w:rsidDel="00000000" w:rsidR="00000000" w:rsidRPr="00000000">
        <w:rPr>
          <w:rtl w:val="0"/>
        </w:rPr>
      </w:r>
    </w:p>
    <w:sectPr>
      <w:pgSz w:h="14400" w:w="10080" w:orient="portrait"/>
      <w:pgMar w:bottom="851" w:top="851"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