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Research Progress Documentation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Cross-Modal Inconsistency Mapping: A Vision Transformer and rPPG-Based Framework for Real-Time Deepfake Detection in Social Engineering</w:t>
      </w:r>
    </w:p>
    <w:p>
      <w:pPr>
        <w:pBdr>
          <w:bottom w:val="single" w:color="2E5A88" w:sz="10" w:space="2"/>
        </w:pBdr>
        <w:spacing w:after="6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Prepared for faculty review  |  Status: methodology validated, cross-domain experiment pending</w:t>
      </w:r>
    </w:p>
    <w:p>
      <w:pPr>
        <w:pBdr>
          <w:bottom w:val="single" w:color="2E5A88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2E5A88"/>
          <w:sz w:val="23"/>
          <w:szCs w:val="23"/>
        </w:rPr>
        <w:t xml:space="preserve">1.  Methodology</w:t>
      </w:r>
    </w:p>
    <w:p>
      <w:pPr>
        <w:spacing w:after="40" w:line="240"/>
        <w:jc w:val="both"/>
      </w:pPr>
      <w:r>
        <w:t xml:space="preserve">The project develops a </w:t>
      </w:r>
      <w:r>
        <w:rPr>
          <w:b/>
          <w:bCs/>
        </w:rPr>
        <w:t xml:space="preserve">multimodal</w:t>
      </w:r>
      <w:r>
        <w:t xml:space="preserve"> deepfake-detection framework that fuses three complementary signal streams, departing from conventional unimodal approaches that examine facial artifacts or audio irregularities in isolation. The architecture combines (i) a </w:t>
      </w:r>
      <w:r>
        <w:rPr>
          <w:b/>
          <w:bCs/>
        </w:rPr>
        <w:t xml:space="preserve">CLIP ViT-L/14 visual backbone</w:t>
      </w:r>
      <w:r>
        <w:t xml:space="preserve"> adapted through Layer-Normalization tuning of roughly 0.03% of parameters; (ii) a </w:t>
      </w:r>
      <w:r>
        <w:rPr>
          <w:b/>
          <w:bCs/>
        </w:rPr>
        <w:t xml:space="preserve">spectral stream</w:t>
      </w:r>
      <w:r>
        <w:t xml:space="preserve"> using dual EfficientNet-B4 networks with phase-spectrum and SRM filtering to expose generative high-frequency residuals; and (iii) a </w:t>
      </w:r>
      <w:r>
        <w:rPr>
          <w:b/>
          <w:bCs/>
        </w:rPr>
        <w:t xml:space="preserve">remote photoplethysmography (rPPG) stream</w:t>
      </w:r>
      <w:r>
        <w:t xml:space="preserve"> that recovers biological pulse signals from facial video. The streams are combined through cross-modal attention and a gradient-boosted ensemble. The central methodological strategy is </w:t>
      </w:r>
      <w:r>
        <w:rPr>
          <w:b/>
          <w:bCs/>
        </w:rPr>
        <w:t xml:space="preserve">multi-source training</w:t>
      </w:r>
      <w:r>
        <w:t xml:space="preserve">, merging face-swap (DF40), diffusion-inpainting (DeepFakeFace) and text-to-image (GenImage/CIFAKE) data to span distinct generator families. Models were trained on Kaggle and Colab T4 GPUs with threat-model augmentation (JPEG/H.264 compression and downscaling) emulating social-media degradation, and assessed with a cross-dataset protocol that measures generalization to unseen generators.</w:t>
      </w:r>
    </w:p>
    <w:p>
      <w:pPr>
        <w:pBdr>
          <w:bottom w:val="single" w:color="2E5A88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2E5A88"/>
          <w:sz w:val="23"/>
          <w:szCs w:val="23"/>
        </w:rPr>
        <w:t xml:space="preserve">2.  Work Completed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Conducted a literature review positioning the framework against current methods (FakeCatcher, GenD, UCF, LSDA, FreqNet), establishing benchmark accuracy, F1 and precision references.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Consolidated and audited a large set of development notebooks into a single clean, reproducible working pipeline.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Trained a baseline with strong in-domain performance: CLIP AUC ≈ 0.998, spectral AUC ≈ 0.9996, and ensemble AUC ≈ 1.00 on the DF40 dataset.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Diagnosed the core research problem — pronounced cross-domain degradation (diffusion AUC 0.574, GAN 0.611; mean 0.728) when training on a single generator family.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Established the principal result: a dual-source training scheme raised cross-domain diffusion AUC from 0.574 to 0.986 </w:t>
      </w:r>
      <w:r>
        <w:rPr>
          <w:b/>
          <w:bCs/>
        </w:rPr>
        <w:t xml:space="preserve">(≈ 71% relative improvement)</w:t>
      </w:r>
      <w:r>
        <w:t xml:space="preserve">, indicating that generator diversity, rather than model capacity, drives generalization.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Resolved numerous engineering defects (half-precision cuFFT crash, deprecated mixed-precision API, ensemble device mismatch, rPPG stuck at chance, dataset-folder collision, and dataset download/extraction errors).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Produced publication-quality figures, a literature-comparison table, and an ONNX/INT8 export with a webcam inference pipeline for real-time deployment.</w:t>
      </w:r>
    </w:p>
    <w:p>
      <w:pPr>
        <w:pBdr>
          <w:bottom w:val="single" w:color="2E5A88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2E5A88"/>
          <w:sz w:val="23"/>
          <w:szCs w:val="23"/>
        </w:rPr>
        <w:t xml:space="preserve">3.  Future Plans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Execute the consolidated triple-source pipeline end-to-end to verify the projected cross-domain AUC (target ≥ 0.82–0.95).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Benchmark honestly against in-the-wild data (Deepfake-Eval-2024), acknowledging that current open models fall to ≈ 0.58 on real-world deepfakes.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Restore the rPPG stream using genuine video data, since it remains inactive on the present image-only datasets.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Measure real webcam frame-rate and latency to substantiate the real-time deployment claim.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Extend coverage to talking-head and lip-sync forgeries (Sora-2 / Veo-3 era) and, longer term, to neural-rendering and Gaussian-splatting generators.</w:t>
      </w:r>
    </w:p>
    <w:p>
      <w:pPr>
        <w:pStyle w:val="ListParagraph"/>
        <w:numPr>
          <w:ilvl w:val="0"/>
          <w:numId w:val="2"/>
        </w:numPr>
        <w:spacing w:after="24" w:line="238"/>
        <w:jc w:val="both"/>
      </w:pPr>
      <w:r>
        <w:t xml:space="preserve">Reframe the manuscript around generator diversity in cross-domain detection, targeting a thesis report and arXiv preprint.</w:t>
      </w:r>
    </w:p>
    <w:p>
      <w:pPr>
        <w:pBdr>
          <w:bottom w:val="single" w:color="2E5A88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2E5A88"/>
          <w:sz w:val="23"/>
          <w:szCs w:val="23"/>
        </w:rPr>
        <w:t xml:space="preserve">4.  Overall Discussion Summary</w:t>
      </w:r>
    </w:p>
    <w:p>
      <w:pPr>
        <w:spacing w:after="0" w:line="240"/>
        <w:jc w:val="both"/>
      </w:pPr>
      <w:r>
        <w:t xml:space="preserve">Our discussions progressed from analysing a fragmented set of detector prototypes toward a focused, defensible research contribution. The framework’s components proved individually sound, yet single-source training failed to generalise across generator types. The key insight — that diversity of training generators, not model size, governs cross-domain robustness — reframed the contribution, isolated the experiment now pending validation, and, together with a candid appraisal of real-world limits, clarified an achievable publication scope.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2026-05-25T22:10:08.069Z</dcterms:created>
  <dcterms:modified xsi:type="dcterms:W3CDTF">2026-05-25T22:10:08.069Z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