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Gamification definition and application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recent years, gamification has gained increasing attention as an innovative approach to enhancing motivation and engagement in various fields. Gamification is a term that is mainly used for educational purposes, due to its motivational potential for some people. Gamification has been applied in many different areas, such as marketing, healthcare, human resources, and simply in regular training courses </w:t>
      </w:r>
      <w:hyperlink r:id="rId6">
        <w:r w:rsidDel="00000000" w:rsidR="00000000" w:rsidRPr="00000000">
          <w:rPr>
            <w:rFonts w:ascii="Times New Roman" w:cs="Times New Roman" w:eastAsia="Times New Roman" w:hAnsi="Times New Roman"/>
            <w:rtl w:val="0"/>
          </w:rPr>
          <w:t xml:space="preserve">(Dichev &amp; Dicheva, 2017)</w:t>
        </w:r>
      </w:hyperlink>
      <w:r w:rsidDel="00000000" w:rsidR="00000000" w:rsidRPr="00000000">
        <w:rPr>
          <w:rFonts w:ascii="Times New Roman" w:cs="Times New Roman" w:eastAsia="Times New Roman" w:hAnsi="Times New Roman"/>
          <w:rtl w:val="0"/>
        </w:rPr>
        <w:t xml:space="preserve">.  It is designed to interest and engage students. Gamification uses elements from games and aims to exploit the specific nature of computer or board games in such a way that students feel that their experiences are as close as possible to those they have when playing games </w:t>
      </w:r>
      <w:hyperlink r:id="rId7">
        <w:r w:rsidDel="00000000" w:rsidR="00000000" w:rsidRPr="00000000">
          <w:rPr>
            <w:rFonts w:ascii="Times New Roman" w:cs="Times New Roman" w:eastAsia="Times New Roman" w:hAnsi="Times New Roman"/>
            <w:rtl w:val="0"/>
          </w:rPr>
          <w:t xml:space="preserve">(Dichev et al., 2020)</w:t>
        </w:r>
      </w:hyperlink>
      <w:r w:rsidDel="00000000" w:rsidR="00000000" w:rsidRPr="00000000">
        <w:rPr>
          <w:rFonts w:ascii="Times New Roman" w:cs="Times New Roman" w:eastAsia="Times New Roman" w:hAnsi="Times New Roman"/>
          <w:rtl w:val="0"/>
        </w:rPr>
        <w:t xml:space="preserve">. Gamification is applicable not only in schools or universities, but also in daily work life. It can also be used to improve physical and mental health </w:t>
      </w:r>
      <w:hyperlink r:id="rId8">
        <w:r w:rsidDel="00000000" w:rsidR="00000000" w:rsidRPr="00000000">
          <w:rPr>
            <w:rFonts w:ascii="Times New Roman" w:cs="Times New Roman" w:eastAsia="Times New Roman" w:hAnsi="Times New Roman"/>
            <w:rtl w:val="0"/>
          </w:rPr>
          <w:t xml:space="preserve">(Naqvi, 2021)</w:t>
        </w:r>
      </w:hyperlink>
      <w:r w:rsidDel="00000000" w:rsidR="00000000" w:rsidRPr="00000000">
        <w:rPr>
          <w:rFonts w:ascii="Times New Roman" w:cs="Times New Roman" w:eastAsia="Times New Roman" w:hAnsi="Times New Roman"/>
          <w:rtl w:val="0"/>
        </w:rPr>
        <w:t xml:space="preserve">. Entrepreneurs often work long hours to develop their business, start-up, etc. Working such long hours often leads to stress, burnout and exhaustion. Reduced physical and mental vitality, decreased productivity, and decreased job efficiency are common signs of burnout </w:t>
      </w:r>
      <w:hyperlink r:id="rId9">
        <w:r w:rsidDel="00000000" w:rsidR="00000000" w:rsidRPr="00000000">
          <w:rPr>
            <w:rFonts w:ascii="Times New Roman" w:cs="Times New Roman" w:eastAsia="Times New Roman" w:hAnsi="Times New Roman"/>
            <w:rtl w:val="0"/>
          </w:rPr>
          <w:t xml:space="preserve">(Naqvi, 2021)</w:t>
        </w:r>
      </w:hyperlink>
      <w:r w:rsidDel="00000000" w:rsidR="00000000" w:rsidRPr="00000000">
        <w:rPr>
          <w:rFonts w:ascii="Times New Roman" w:cs="Times New Roman" w:eastAsia="Times New Roman" w:hAnsi="Times New Roman"/>
          <w:rtl w:val="0"/>
        </w:rPr>
        <w:t xml:space="preserve">. The goal of a gamification in a workplace is to create healthy businesses with greater performance rates linked to higher levels of customer participation and well-being by enhancing positive outcomes at the organizational and personal levels. Research shows that introducing game elements into the workplace increases satisfaction, has positive effects on work, enhances efficiency, motivates work, and strengthens training and recruitment (Ferreira-Oliveira et al., 2017 &amp; </w:t>
      </w:r>
      <w:hyperlink r:id="rId10">
        <w:r w:rsidDel="00000000" w:rsidR="00000000" w:rsidRPr="00000000">
          <w:rPr>
            <w:rFonts w:ascii="Times New Roman" w:cs="Times New Roman" w:eastAsia="Times New Roman" w:hAnsi="Times New Roman"/>
            <w:rtl w:val="0"/>
          </w:rPr>
          <w:t xml:space="preserve">Naqvi, 2021</w:t>
        </w:r>
      </w:hyperlink>
      <w:r w:rsidDel="00000000" w:rsidR="00000000" w:rsidRPr="00000000">
        <w:rPr>
          <w:rFonts w:ascii="Times New Roman" w:cs="Times New Roman" w:eastAsia="Times New Roman" w:hAnsi="Times New Roman"/>
          <w:rtl w:val="0"/>
        </w:rPr>
        <w:t xml:space="preserve">). In conclusion, gamification can be an effective tool for supporting motivation, engagement and efficiency in both education and the workplace. Properly designed game elements can contribute to improving employee well-being, increasing productivity and reducing stress and burnout. Therefore, gamification may represent a valuable strategy for supporting motivation and resilience, particularly in demanding environments such as startups and early-stage entrepreneurship.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References</w:t>
      </w:r>
    </w:p>
    <w:p w:rsidR="00000000" w:rsidDel="00000000" w:rsidP="00000000" w:rsidRDefault="00000000" w:rsidRPr="00000000" w14:paraId="0000001C">
      <w:pPr>
        <w:spacing w:line="480" w:lineRule="auto"/>
        <w:ind w:left="720"/>
        <w:rPr/>
      </w:pPr>
      <w:hyperlink r:id="rId11">
        <w:r w:rsidDel="00000000" w:rsidR="00000000" w:rsidRPr="00000000">
          <w:rPr>
            <w:rtl w:val="0"/>
          </w:rPr>
          <w:t xml:space="preserve">Dichev, C., &amp; Dicheva, D. (2017). Gamifying education: What is known, what is believed and what remains uncertain: a critical review. </w:t>
        </w:r>
      </w:hyperlink>
      <w:hyperlink r:id="rId12">
        <w:r w:rsidDel="00000000" w:rsidR="00000000" w:rsidRPr="00000000">
          <w:rPr>
            <w:i w:val="1"/>
            <w:iCs w:val="1"/>
            <w:rtl w:val="0"/>
          </w:rPr>
          <w:t xml:space="preserve">International Journal of Educational Technology in Higher Education</w:t>
        </w:r>
      </w:hyperlink>
      <w:hyperlink r:id="rId13">
        <w:r w:rsidDel="00000000" w:rsidR="00000000" w:rsidRPr="00000000">
          <w:rPr>
            <w:rtl w:val="0"/>
          </w:rPr>
          <w:t xml:space="preserve">, </w:t>
        </w:r>
      </w:hyperlink>
      <w:hyperlink r:id="rId14">
        <w:r w:rsidDel="00000000" w:rsidR="00000000" w:rsidRPr="00000000">
          <w:rPr>
            <w:i w:val="1"/>
            <w:iCs w:val="1"/>
            <w:rtl w:val="0"/>
          </w:rPr>
          <w:t xml:space="preserve">14</w:t>
        </w:r>
      </w:hyperlink>
      <w:hyperlink r:id="rId15">
        <w:r w:rsidDel="00000000" w:rsidR="00000000" w:rsidRPr="00000000">
          <w:rPr>
            <w:rtl w:val="0"/>
          </w:rPr>
          <w:t xml:space="preserve">(1), 9. https://doi.org/10.1186/s41239-017-0042-5 </w:t>
        </w:r>
      </w:hyperlink>
      <w:r w:rsidDel="00000000" w:rsidR="00000000" w:rsidRPr="00000000">
        <w:rPr>
          <w:rtl w:val="0"/>
        </w:rPr>
      </w:r>
    </w:p>
    <w:p w:rsidR="00000000" w:rsidDel="00000000" w:rsidP="00000000" w:rsidRDefault="00000000" w:rsidRPr="00000000" w14:paraId="0000001D">
      <w:pPr>
        <w:spacing w:line="480" w:lineRule="auto"/>
        <w:ind w:left="720"/>
        <w:rPr/>
      </w:pPr>
      <w:hyperlink r:id="rId16">
        <w:r w:rsidDel="00000000" w:rsidR="00000000" w:rsidRPr="00000000">
          <w:rPr>
            <w:rtl w:val="0"/>
          </w:rPr>
          <w:t xml:space="preserve">Dichev, C., Dicheva, D., &amp; Irwin, K. (2020). Gamifying learning for learners. </w:t>
        </w:r>
      </w:hyperlink>
      <w:hyperlink r:id="rId17">
        <w:r w:rsidDel="00000000" w:rsidR="00000000" w:rsidRPr="00000000">
          <w:rPr>
            <w:i w:val="1"/>
            <w:iCs w:val="1"/>
            <w:rtl w:val="0"/>
          </w:rPr>
          <w:t xml:space="preserve">International Journal of Educational Technology in Higher Education</w:t>
        </w:r>
      </w:hyperlink>
      <w:hyperlink r:id="rId18">
        <w:r w:rsidDel="00000000" w:rsidR="00000000" w:rsidRPr="00000000">
          <w:rPr>
            <w:rtl w:val="0"/>
          </w:rPr>
          <w:t xml:space="preserve">, </w:t>
        </w:r>
      </w:hyperlink>
      <w:hyperlink r:id="rId19">
        <w:r w:rsidDel="00000000" w:rsidR="00000000" w:rsidRPr="00000000">
          <w:rPr>
            <w:i w:val="1"/>
            <w:iCs w:val="1"/>
            <w:rtl w:val="0"/>
          </w:rPr>
          <w:t xml:space="preserve">17</w:t>
        </w:r>
      </w:hyperlink>
      <w:hyperlink r:id="rId20">
        <w:r w:rsidDel="00000000" w:rsidR="00000000" w:rsidRPr="00000000">
          <w:rPr>
            <w:rtl w:val="0"/>
          </w:rPr>
          <w:t xml:space="preserve">(1), 54. https://doi.org/10.1186/s41239-020-00231-0 </w:t>
        </w:r>
      </w:hyperlink>
      <w:r w:rsidDel="00000000" w:rsidR="00000000" w:rsidRPr="00000000">
        <w:rPr>
          <w:rtl w:val="0"/>
        </w:rPr>
      </w:r>
    </w:p>
    <w:p w:rsidR="00000000" w:rsidDel="00000000" w:rsidP="00000000" w:rsidRDefault="00000000" w:rsidRPr="00000000" w14:paraId="0000001E">
      <w:pPr>
        <w:spacing w:line="480" w:lineRule="auto"/>
        <w:ind w:left="720"/>
        <w:rPr/>
      </w:pPr>
      <w:hyperlink r:id="rId21">
        <w:r w:rsidDel="00000000" w:rsidR="00000000" w:rsidRPr="00000000">
          <w:rPr>
            <w:rtl w:val="0"/>
          </w:rPr>
          <w:t xml:space="preserve">Naqvi, W. M. (2021). </w:t>
        </w:r>
      </w:hyperlink>
      <w:hyperlink r:id="rId22">
        <w:r w:rsidDel="00000000" w:rsidR="00000000" w:rsidRPr="00000000">
          <w:rPr>
            <w:i w:val="1"/>
            <w:iCs w:val="1"/>
            <w:rtl w:val="0"/>
          </w:rPr>
          <w:t xml:space="preserve">Gamification as an entrepreneur well-being intervention: A study protocol for a single-blinded randomised controlled trial</w:t>
        </w:r>
      </w:hyperlink>
      <w:hyperlink r:id="rId23">
        <w:r w:rsidDel="00000000" w:rsidR="00000000" w:rsidRPr="00000000">
          <w:rPr>
            <w:rtl w:val="0"/>
          </w:rPr>
          <w:t xml:space="preserve">. Protocol Exchange. https://doi.org/10.21203/rs.3.pex-1323/v1 </w:t>
        </w:r>
      </w:hyperlink>
      <w:r w:rsidDel="00000000" w:rsidR="00000000" w:rsidRPr="00000000">
        <w:rPr>
          <w:rtl w:val="0"/>
        </w:rPr>
      </w:r>
    </w:p>
    <w:p w:rsidR="00000000" w:rsidDel="00000000" w:rsidP="00000000" w:rsidRDefault="00000000" w:rsidRPr="00000000" w14:paraId="0000001F">
      <w:pPr>
        <w:spacing w:line="480" w:lineRule="auto"/>
        <w:ind w:left="720"/>
        <w:rPr/>
      </w:pPr>
      <w:r w:rsidDel="00000000" w:rsidR="00000000" w:rsidRPr="00000000">
        <w:rPr>
          <w:rtl w:val="0"/>
        </w:rPr>
        <w:t xml:space="preserve">Ferreira-Oliveira, Ana &amp; Araújo, Alexandra &amp; Fernandes, Sandra &amp; Miguel, Isabel. (2017). Gamification in the Workplace: A Systematic Literature Review. 283-292. 10.1007/978-3-319-56541-5_29.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rOVFIi" TargetMode="External"/><Relationship Id="rId11" Type="http://schemas.openxmlformats.org/officeDocument/2006/relationships/hyperlink" Target="https://www.zotero.org/google-docs/?rOVFIi" TargetMode="External"/><Relationship Id="rId22" Type="http://schemas.openxmlformats.org/officeDocument/2006/relationships/hyperlink" Target="https://www.zotero.org/google-docs/?rOVFIi" TargetMode="External"/><Relationship Id="rId10" Type="http://schemas.openxmlformats.org/officeDocument/2006/relationships/hyperlink" Target="https://www.zotero.org/google-docs/?eaCHZT" TargetMode="External"/><Relationship Id="rId21" Type="http://schemas.openxmlformats.org/officeDocument/2006/relationships/hyperlink" Target="https://www.zotero.org/google-docs/?rOVFIi" TargetMode="External"/><Relationship Id="rId13" Type="http://schemas.openxmlformats.org/officeDocument/2006/relationships/hyperlink" Target="https://www.zotero.org/google-docs/?rOVFIi" TargetMode="External"/><Relationship Id="rId12" Type="http://schemas.openxmlformats.org/officeDocument/2006/relationships/hyperlink" Target="https://www.zotero.org/google-docs/?rOVFIi" TargetMode="External"/><Relationship Id="rId23" Type="http://schemas.openxmlformats.org/officeDocument/2006/relationships/hyperlink" Target="https://www.zotero.org/google-docs/?rOVFI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2r8QLg" TargetMode="External"/><Relationship Id="rId15" Type="http://schemas.openxmlformats.org/officeDocument/2006/relationships/hyperlink" Target="https://www.zotero.org/google-docs/?rOVFIi" TargetMode="External"/><Relationship Id="rId14" Type="http://schemas.openxmlformats.org/officeDocument/2006/relationships/hyperlink" Target="https://www.zotero.org/google-docs/?rOVFIi" TargetMode="External"/><Relationship Id="rId17" Type="http://schemas.openxmlformats.org/officeDocument/2006/relationships/hyperlink" Target="https://www.zotero.org/google-docs/?rOVFIi" TargetMode="External"/><Relationship Id="rId16" Type="http://schemas.openxmlformats.org/officeDocument/2006/relationships/hyperlink" Target="https://www.zotero.org/google-docs/?rOVFIi" TargetMode="External"/><Relationship Id="rId5" Type="http://schemas.openxmlformats.org/officeDocument/2006/relationships/styles" Target="styles.xml"/><Relationship Id="rId19" Type="http://schemas.openxmlformats.org/officeDocument/2006/relationships/hyperlink" Target="https://www.zotero.org/google-docs/?rOVFIi" TargetMode="External"/><Relationship Id="rId6" Type="http://schemas.openxmlformats.org/officeDocument/2006/relationships/hyperlink" Target="https://www.zotero.org/google-docs/?7lVGgQ" TargetMode="External"/><Relationship Id="rId18" Type="http://schemas.openxmlformats.org/officeDocument/2006/relationships/hyperlink" Target="https://www.zotero.org/google-docs/?rOVFIi" TargetMode="External"/><Relationship Id="rId7" Type="http://schemas.openxmlformats.org/officeDocument/2006/relationships/hyperlink" Target="https://www.zotero.org/google-docs/?NHZbcO" TargetMode="External"/><Relationship Id="rId8" Type="http://schemas.openxmlformats.org/officeDocument/2006/relationships/hyperlink" Target="https://www.zotero.org/google-docs/?9mOd9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