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1. Introduction René &amp; Kathi</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1.1 Background: Startup Vulnerability in Uncertain Environments</w:t>
      </w:r>
      <w:r w:rsidDel="00000000" w:rsidR="00000000" w:rsidRPr="00000000">
        <w:rPr>
          <w:rtl w:val="0"/>
        </w:rPr>
      </w:r>
    </w:p>
    <w:p w:rsidR="00000000" w:rsidDel="00000000" w:rsidP="00000000" w:rsidRDefault="00000000" w:rsidRPr="00000000" w14:paraId="00000003">
      <w:pPr>
        <w:pBdr>
          <w:bottom w:color="000000" w:space="1" w:sz="6" w:val="single"/>
        </w:pBdr>
        <w:rPr/>
      </w:pPr>
      <w:r w:rsidDel="00000000" w:rsidR="00000000" w:rsidRPr="00000000">
        <w:rPr>
          <w:rtl w:val="0"/>
        </w:rPr>
        <w:t xml:space="preserve">This section outlines the volatile and resource-constrained environment in which early-stage startups operate. It highlights high failure rates, uncertainty, and structural fragility as core challenges.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Early-stage startups are particularly exposed to uncertainty: business models, target markets, and technological foundations are often not yet firmly established, while resource scarcity and time pressure are pervasive. (Pasustento, 2025) Recent statistics and reviews indicate that the vast majority of new ventures fail, with failure rates being especially high in the first years and accumulating to around 70–90% over the long term. These empirical patterns highlight that startups constitute a highly fragile organizational form whose survival critically depends on their ability to cope with uncertainty, volatility, and exogenous shocks. (Failory, n.d.; Founder’s Forum, n.d.)</w:t>
      </w:r>
    </w:p>
    <w:p w:rsidR="00000000" w:rsidDel="00000000" w:rsidP="00000000" w:rsidRDefault="00000000" w:rsidRPr="00000000" w14:paraId="00000006">
      <w:pPr>
        <w:rPr/>
      </w:pPr>
      <w:r w:rsidDel="00000000" w:rsidR="00000000" w:rsidRPr="00000000">
        <w:rPr>
          <w:rtl w:val="0"/>
        </w:rPr>
        <w:t xml:space="preserve">Theoretically, this fragility is often explained through the concepts of the “liability of newness” and the “liability of smallness”: startups possess few established routines and structures, lack organizational legitimacy vis-à-vis key stakeholders, and operate with limited financial, human, and organizational resources. Empirical studies show that these characteristics constrain startups’ ability to act, particularly in dynamic and highly competitive environments, for example by complicating the implementation of innovation activities and diminishing the returns from R&amp;D investments. In volatile environments, this vulnerability is further intensified, as unexpected changes in markets, technologies, or regulations directly impact already scarce resources and fragile organizational structures. (Gimenez-Fernandez et al., 2020)</w:t>
      </w:r>
    </w:p>
    <w:p w:rsidR="00000000" w:rsidDel="00000000" w:rsidP="00000000" w:rsidRDefault="00000000" w:rsidRPr="00000000" w14:paraId="00000007">
      <w:pPr>
        <w:rPr/>
      </w:pPr>
      <w:r w:rsidDel="00000000" w:rsidR="00000000" w:rsidRPr="00000000">
        <w:rPr>
          <w:rtl w:val="0"/>
        </w:rPr>
        <w:t xml:space="preserve">At the same time, recent studies emphasize that responses to such uncertainty are not determined solely by structural factors but also by individual and relational characteristics of founders and their ecosystems. Research on entrepreneurial resilience and individual resilience in early-stage startups suggests that capabilities such as adaptability, optimism, and effective use of networks can play a crucial role in helping ventures navigate environmental uncertainty and survive crises. (Mberi, 2020) </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1.2 Relevance of Resilience in Early-Stage Ventures</w:t>
      </w:r>
    </w:p>
    <w:p w:rsidR="00000000" w:rsidDel="00000000" w:rsidP="00000000" w:rsidRDefault="00000000" w:rsidRPr="00000000" w14:paraId="00000009">
      <w:pPr>
        <w:spacing w:after="240" w:before="240" w:lineRule="auto"/>
        <w:rPr/>
      </w:pPr>
      <w:r w:rsidDel="00000000" w:rsidR="00000000" w:rsidRPr="00000000">
        <w:rPr>
          <w:rtl w:val="0"/>
        </w:rPr>
        <w:t xml:space="preserve">Against the backdrop of structural fragility and environmental turbulence described above, resilience emerges as a potential explanatory and normative construct for understanding startup survival. While traditional entrepreneurship research has often focused on opportunity recognition, innovation capability, or resource acquisition, more recent scholarship increasingly emphasizes resilience as a dynamic capability that enables ventures to withstand, adapt to, and even benefit from adverse conditions (Duchek, 2020; Korber &amp; McNaughton, 2018).</w:t>
      </w:r>
    </w:p>
    <w:p w:rsidR="00000000" w:rsidDel="00000000" w:rsidP="00000000" w:rsidRDefault="00000000" w:rsidRPr="00000000" w14:paraId="0000000A">
      <w:pPr>
        <w:spacing w:after="240" w:before="240" w:lineRule="auto"/>
        <w:rPr/>
      </w:pPr>
      <w:r w:rsidDel="00000000" w:rsidR="00000000" w:rsidRPr="00000000">
        <w:rPr>
          <w:rtl w:val="0"/>
        </w:rPr>
        <w:t xml:space="preserve">Organizational resilience is commonly defined as the capacity of a system to absorb strain, recover critical functionality, and adapt positively in the face of adversity (Lengnick-Hall et al., 2011). In the context of startups, resilience extends beyond mere persistence; it encompasses adaptive reconfiguration of business models, strategic pivoting, rapid learning, and the mobilization of networks under conditions of uncertainty (Fisher et al., 2016; Williams et al., 2017). This perspective is particularly relevant for early-stage ventures, which lack structural buffers such as financial slack, established routines, and diversified revenue streams.</w:t>
      </w:r>
    </w:p>
    <w:p w:rsidR="00000000" w:rsidDel="00000000" w:rsidP="00000000" w:rsidRDefault="00000000" w:rsidRPr="00000000" w14:paraId="0000000B">
      <w:pPr>
        <w:spacing w:after="240" w:before="240" w:lineRule="auto"/>
        <w:rPr/>
      </w:pPr>
      <w:r w:rsidDel="00000000" w:rsidR="00000000" w:rsidRPr="00000000">
        <w:rPr>
          <w:rtl w:val="0"/>
        </w:rPr>
        <w:t xml:space="preserve">Early-stage ventures are characterized by experimentation and iterative development. Consequently, setbacks are not exceptions but structural features of the entrepreneurial process. In this phase, resilience may function as a mechanism that transforms shocks into learning opportunities. Empirical research suggests that ventures capable of reflective learning, resource recombination, and flexible decision-making are more likely to survive early disruptions and sustain innovation trajectories (Bingham &amp; Eisenhardt, 2011; Ayala &amp; Manzano, 2014). Particularly in crisis contexts—such as economic downturns or sudden regulatory shifts—resilient firms demonstrate higher adaptability and faster recovery (Doern et al., 2019).</w:t>
      </w:r>
    </w:p>
    <w:p w:rsidR="00000000" w:rsidDel="00000000" w:rsidP="00000000" w:rsidRDefault="00000000" w:rsidRPr="00000000" w14:paraId="0000000C">
      <w:pPr>
        <w:spacing w:after="240" w:before="240" w:lineRule="auto"/>
        <w:rPr/>
      </w:pPr>
      <w:r w:rsidDel="00000000" w:rsidR="00000000" w:rsidRPr="00000000">
        <w:rPr>
          <w:rtl w:val="0"/>
        </w:rPr>
        <w:t xml:space="preserve">Importantly, resilience in startups appears to operate on multiple levels. At the individual level, founder resilience—manifested in optimism, self-efficacy, and stress tolerance—has been linked to persistence and opportunity exploitation under uncertainty (Hayward et al., 2010; Mberi, 2020). At the organizational level, structural flexibility, dynamic capabilities, and strategic agility enhance adaptive capacity (Teece, 2007; Duchek, 2020). At the relational level, access to supportive ecosystems, social capital, and network embeddedness strengthens resource mobilization during crises (Stam, 2015; Korber &amp; McNaughton, 2018).</w:t>
      </w:r>
    </w:p>
    <w:p w:rsidR="00000000" w:rsidDel="00000000" w:rsidP="00000000" w:rsidRDefault="00000000" w:rsidRPr="00000000" w14:paraId="0000000D">
      <w:pPr>
        <w:spacing w:after="240" w:before="240" w:lineRule="auto"/>
        <w:rPr/>
      </w:pPr>
      <w:r w:rsidDel="00000000" w:rsidR="00000000" w:rsidRPr="00000000">
        <w:rPr>
          <w:rtl w:val="0"/>
        </w:rPr>
        <w:t xml:space="preserve">Given that early-stage startups operate at the intersection of extreme uncertainty and resource constraints, resilience may not merely be beneficial but constitutive for survival. Unlike mature firms, startups cannot rely on accumulated reserves or established legitimacy; therefore, their ability to adapt, reconfigure, and maintain functionality under pressure may represent a decisive survival factor. Despite growing academic attention, however, research remains fragmented across individual, organizational, and ecosystem perspectives. A more integrative understanding of how different dimensions of resilience contribute to early-stage survival and adaptability is therefore warranted.</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1.3 Research Objective and Research Question</w:t>
      </w:r>
    </w:p>
    <w:p w:rsidR="00000000" w:rsidDel="00000000" w:rsidP="00000000" w:rsidRDefault="00000000" w:rsidRPr="00000000" w14:paraId="0000000F">
      <w:pPr>
        <w:spacing w:after="240" w:before="240" w:lineRule="auto"/>
        <w:rPr/>
      </w:pPr>
      <w:r w:rsidDel="00000000" w:rsidR="00000000" w:rsidRPr="00000000">
        <w:rPr>
          <w:rtl w:val="0"/>
        </w:rPr>
        <w:t xml:space="preserve">Building on the vulnerability of early-stage ventures and the emerging recognition of resilience as a multi-level construct, this paper aims to systematically examine how different dimensions of resilience contribute to startup survival and adaptability in the early stages of venture development.</w:t>
      </w:r>
    </w:p>
    <w:p w:rsidR="00000000" w:rsidDel="00000000" w:rsidP="00000000" w:rsidRDefault="00000000" w:rsidRPr="00000000" w14:paraId="00000010">
      <w:pPr>
        <w:spacing w:after="240" w:before="240" w:lineRule="auto"/>
        <w:rPr/>
      </w:pPr>
      <w:r w:rsidDel="00000000" w:rsidR="00000000" w:rsidRPr="00000000">
        <w:rPr>
          <w:rtl w:val="0"/>
        </w:rPr>
        <w:t xml:space="preserve">While prior research has explored founder resilience, organizational resilience, and ecosystem resilience separately, there is limited integrative analysis of how these dimensions interact in shaping early-stage outcomes. Moreover, much of the existing literature focuses either on large organizations or on crisis-specific contexts, leaving a conceptual and empirical gap regarding resilience as a general survival mechanism in early-stage startups.</w:t>
      </w:r>
    </w:p>
    <w:p w:rsidR="00000000" w:rsidDel="00000000" w:rsidP="00000000" w:rsidRDefault="00000000" w:rsidRPr="00000000" w14:paraId="00000011">
      <w:pPr>
        <w:spacing w:after="240" w:before="240" w:lineRule="auto"/>
        <w:rPr/>
      </w:pPr>
      <w:r w:rsidDel="00000000" w:rsidR="00000000" w:rsidRPr="00000000">
        <w:rPr>
          <w:rtl w:val="0"/>
        </w:rPr>
        <w:t xml:space="preserve">The objective of this paper is therefore threefold:</w:t>
      </w:r>
    </w:p>
    <w:p w:rsidR="00000000" w:rsidDel="00000000" w:rsidP="00000000" w:rsidRDefault="00000000" w:rsidRPr="00000000" w14:paraId="00000012">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conceptualize resilience in early-stage ventures as a multidimensional construct</w:t>
      </w:r>
    </w:p>
    <w:p w:rsidR="00000000" w:rsidDel="00000000" w:rsidP="00000000" w:rsidRDefault="00000000" w:rsidRPr="00000000" w14:paraId="00000013">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identify and differentiate key resilience dimensions relevant to startup survival and adaptability, and</w:t>
      </w:r>
    </w:p>
    <w:p w:rsidR="00000000" w:rsidDel="00000000" w:rsidP="00000000" w:rsidRDefault="00000000" w:rsidRPr="00000000" w14:paraId="00000014">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to analyze how these dimensions contribute to navigating uncertainty, disruption, and resource scarcity in the formative phases of venture development.</w:t>
      </w:r>
    </w:p>
    <w:p w:rsidR="00000000" w:rsidDel="00000000" w:rsidP="00000000" w:rsidRDefault="00000000" w:rsidRPr="00000000" w14:paraId="00000015">
      <w:pPr>
        <w:spacing w:after="240" w:before="240" w:lineRule="auto"/>
        <w:rPr/>
      </w:pPr>
      <w:r w:rsidDel="00000000" w:rsidR="00000000" w:rsidRPr="00000000">
        <w:rPr>
          <w:rtl w:val="0"/>
        </w:rPr>
        <w:t xml:space="preserve">Based on this objective, the central research question guiding this study is: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How do different dimensions of resilience contribute to startup survival and adaptability in early-stage ventures?</w:t>
      </w:r>
    </w:p>
    <w:p w:rsidR="00000000" w:rsidDel="00000000" w:rsidP="00000000" w:rsidRDefault="00000000" w:rsidRPr="00000000" w14:paraId="00000017">
      <w:pPr>
        <w:spacing w:after="240" w:before="240" w:lineRule="auto"/>
        <w:rPr/>
      </w:pPr>
      <w:r w:rsidDel="00000000" w:rsidR="00000000" w:rsidRPr="00000000">
        <w:rPr>
          <w:rtl w:val="0"/>
        </w:rPr>
        <w:t xml:space="preserve">To address this question, the following section develops the theoretical background of the study. It synthesizes existing literature on organizational resilience, entrepreneurial resilience, and startup theory to construct a conceptual foundation for analyzing resilience in early-stage ventures.</w:t>
      </w:r>
    </w:p>
    <w:p w:rsidR="00000000" w:rsidDel="00000000" w:rsidP="00000000" w:rsidRDefault="00000000" w:rsidRPr="00000000" w14:paraId="00000018">
      <w:pPr>
        <w:rPr/>
      </w:pPr>
      <w:r w:rsidDel="00000000" w:rsidR="00000000" w:rsidRPr="00000000">
        <w:rPr>
          <w:rtl w:val="0"/>
        </w:rPr>
        <w:t xml:space="preserve">Pasustento, M. V. A. (2025). </w:t>
      </w:r>
      <w:r w:rsidDel="00000000" w:rsidR="00000000" w:rsidRPr="00000000">
        <w:rPr>
          <w:i w:val="1"/>
          <w:iCs w:val="1"/>
          <w:rtl w:val="0"/>
        </w:rPr>
        <w:t xml:space="preserve">Challenges and opportunities for startup success: A systematic literature review</w:t>
      </w:r>
      <w:r w:rsidDel="00000000" w:rsidR="00000000" w:rsidRPr="00000000">
        <w:rPr>
          <w:rtl w:val="0"/>
        </w:rPr>
        <w:t xml:space="preserve">. </w:t>
      </w:r>
      <w:r w:rsidDel="00000000" w:rsidR="00000000" w:rsidRPr="00000000">
        <w:rPr>
          <w:b w:val="1"/>
          <w:bCs w:val="1"/>
          <w:rtl w:val="0"/>
        </w:rPr>
        <w:t xml:space="preserve">Journal of Economics, Management and Trade, 31</w:t>
      </w:r>
      <w:r w:rsidDel="00000000" w:rsidR="00000000" w:rsidRPr="00000000">
        <w:rPr>
          <w:rtl w:val="0"/>
        </w:rPr>
        <w:t xml:space="preserve">(10), 47–57. </w:t>
      </w:r>
      <w:hyperlink r:id="rId7">
        <w:r w:rsidDel="00000000" w:rsidR="00000000" w:rsidRPr="00000000">
          <w:rPr>
            <w:color w:val="467886"/>
            <w:u w:val="single"/>
            <w:rtl w:val="0"/>
          </w:rPr>
          <w:t xml:space="preserve">https://doi.org/10.9734/jemt/2025/v31i101362</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Founder’s Forum. (n.d.). </w:t>
      </w:r>
      <w:r w:rsidDel="00000000" w:rsidR="00000000" w:rsidRPr="00000000">
        <w:rPr>
          <w:i w:val="1"/>
          <w:iCs w:val="1"/>
          <w:rtl w:val="0"/>
        </w:rPr>
        <w:t xml:space="preserve">Startup statistics guide</w:t>
      </w:r>
      <w:r w:rsidDel="00000000" w:rsidR="00000000" w:rsidRPr="00000000">
        <w:rPr>
          <w:rtl w:val="0"/>
        </w:rPr>
        <w:t xml:space="preserve">. </w:t>
      </w:r>
      <w:hyperlink r:id="rId8">
        <w:r w:rsidDel="00000000" w:rsidR="00000000" w:rsidRPr="00000000">
          <w:rPr>
            <w:color w:val="467886"/>
            <w:u w:val="single"/>
            <w:rtl w:val="0"/>
          </w:rPr>
          <w:t xml:space="preserve">https://ff.co/startup-statistics-guide/</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Failory. (n.d.). </w:t>
      </w:r>
      <w:r w:rsidDel="00000000" w:rsidR="00000000" w:rsidRPr="00000000">
        <w:rPr>
          <w:i w:val="1"/>
          <w:iCs w:val="1"/>
          <w:rtl w:val="0"/>
        </w:rPr>
        <w:t xml:space="preserve">Startup failure rate: How many startups fail and why?</w:t>
      </w:r>
      <w:r w:rsidDel="00000000" w:rsidR="00000000" w:rsidRPr="00000000">
        <w:rPr>
          <w:rtl w:val="0"/>
        </w:rPr>
        <w:t xml:space="preserve"> </w:t>
      </w:r>
      <w:hyperlink r:id="rId9">
        <w:r w:rsidDel="00000000" w:rsidR="00000000" w:rsidRPr="00000000">
          <w:rPr>
            <w:color w:val="467886"/>
            <w:u w:val="single"/>
            <w:rtl w:val="0"/>
          </w:rPr>
          <w:t xml:space="preserve">https://www.failory.com/blog/startup-failure-rate</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Gimenez-Fernandez, E. M., Sandulli, F. D. &amp; Bogers, M. (2020). Unpacking liabilities of newness and smallness in innovative start-ups: Investigating the differences in innovation performance between new and older small firms. </w:t>
      </w:r>
      <w:r w:rsidDel="00000000" w:rsidR="00000000" w:rsidRPr="00000000">
        <w:rPr>
          <w:i w:val="1"/>
          <w:iCs w:val="1"/>
          <w:rtl w:val="0"/>
        </w:rPr>
        <w:t xml:space="preserve">Research Policy</w:t>
      </w:r>
      <w:r w:rsidDel="00000000" w:rsidR="00000000" w:rsidRPr="00000000">
        <w:rPr>
          <w:rtl w:val="0"/>
        </w:rPr>
        <w:t xml:space="preserve">, </w:t>
      </w:r>
      <w:r w:rsidDel="00000000" w:rsidR="00000000" w:rsidRPr="00000000">
        <w:rPr>
          <w:i w:val="1"/>
          <w:iCs w:val="1"/>
          <w:rtl w:val="0"/>
        </w:rPr>
        <w:t xml:space="preserve">49</w:t>
      </w:r>
      <w:r w:rsidDel="00000000" w:rsidR="00000000" w:rsidRPr="00000000">
        <w:rPr>
          <w:rtl w:val="0"/>
        </w:rPr>
        <w:t xml:space="preserve">(10), 104049. </w:t>
      </w:r>
      <w:hyperlink r:id="rId10">
        <w:r w:rsidDel="00000000" w:rsidR="00000000" w:rsidRPr="00000000">
          <w:rPr>
            <w:color w:val="467886"/>
            <w:u w:val="single"/>
            <w:rtl w:val="0"/>
          </w:rPr>
          <w:t xml:space="preserve">https://doi.org/10.1016/j.respol.2020.104049</w:t>
        </w:r>
      </w:hyperlink>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Mberi, F. S. (2020). Resilience as Survival Trait for Start-Up Entrepreneurs. </w:t>
      </w:r>
      <w:r w:rsidDel="00000000" w:rsidR="00000000" w:rsidRPr="00000000">
        <w:rPr>
          <w:i w:val="1"/>
          <w:iCs w:val="1"/>
          <w:rtl w:val="0"/>
        </w:rPr>
        <w:t xml:space="preserve">www.abacademies.org</w:t>
      </w:r>
      <w:r w:rsidDel="00000000" w:rsidR="00000000" w:rsidRPr="00000000">
        <w:rPr>
          <w:rtl w:val="0"/>
        </w:rPr>
        <w:t xml:space="preserve">. </w:t>
      </w:r>
      <w:hyperlink r:id="rId11">
        <w:r w:rsidDel="00000000" w:rsidR="00000000" w:rsidRPr="00000000">
          <w:rPr>
            <w:color w:val="467886"/>
            <w:u w:val="single"/>
            <w:rtl w:val="0"/>
          </w:rPr>
          <w:t xml:space="preserve">https://www.abacademies.org/articles/resilience-as-survival-trait-for-startup-entrepreneurs-8940.html</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color w:val="1155cc"/>
          <w:u w:val="single"/>
        </w:rPr>
      </w:pPr>
      <w:r w:rsidDel="00000000" w:rsidR="00000000" w:rsidRPr="00000000">
        <w:rPr>
          <w:rtl w:val="0"/>
        </w:rPr>
        <w:t xml:space="preserve">Duchek, S. (2020). Organizational resilience: a capability based conceptualization. Business Research, 13, 215–246.</w:t>
        <w:br w:type="textWrapping"/>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https://doi.org/10.1007/s40685-019-0085-7</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Ayala, J. C., &amp; Manzano, G. (2014). The resilience of the entrepreneur: Influence on the success of the business. Journal of Economic Psychology, 42, 126–135.</w:t>
        <w:br w:type="textWrapping"/>
        <w:t xml:space="preserve"> https://doi.org/10.1016/j.joep.2014.02.004</w:t>
      </w:r>
    </w:p>
    <w:p w:rsidR="00000000" w:rsidDel="00000000" w:rsidP="00000000" w:rsidRDefault="00000000" w:rsidRPr="00000000" w14:paraId="00000024">
      <w:pPr>
        <w:spacing w:after="240" w:before="240" w:lineRule="auto"/>
        <w:rPr/>
      </w:pPr>
      <w:r w:rsidDel="00000000" w:rsidR="00000000" w:rsidRPr="00000000">
        <w:rPr>
          <w:rtl w:val="0"/>
        </w:rPr>
        <w:t xml:space="preserve">Bingham, C. B., &amp; Eisenhardt, K. M. (2011). Rational heuristics: The simple rules that strategists learn from process experience. Organization Science, 22(6), 1437–1464.</w:t>
        <w:br w:type="textWrapping"/>
        <w:t xml:space="preserve"> https://doi.org/10.1287/orsc.1100.0610</w:t>
      </w:r>
    </w:p>
    <w:p w:rsidR="00000000" w:rsidDel="00000000" w:rsidP="00000000" w:rsidRDefault="00000000" w:rsidRPr="00000000" w14:paraId="00000025">
      <w:pPr>
        <w:spacing w:after="240" w:before="240" w:lineRule="auto"/>
        <w:rPr/>
      </w:pPr>
      <w:r w:rsidDel="00000000" w:rsidR="00000000" w:rsidRPr="00000000">
        <w:rPr>
          <w:rtl w:val="0"/>
        </w:rPr>
        <w:t xml:space="preserve">Fisher, G., Maritz, A., &amp; Lobo, A. (2016). Does individual resilience influence entrepreneurial success? Journal of Business Venturing Insights, 6, 39–53.</w:t>
        <w:br w:type="textWrapping"/>
        <w:t xml:space="preserve"> https://doi.org/10.1016/j.jbvi.2016.01.002</w:t>
      </w:r>
    </w:p>
    <w:p w:rsidR="00000000" w:rsidDel="00000000" w:rsidP="00000000" w:rsidRDefault="00000000" w:rsidRPr="00000000" w14:paraId="00000026">
      <w:pPr>
        <w:spacing w:after="240" w:before="240" w:lineRule="auto"/>
        <w:rPr/>
      </w:pPr>
      <w:r w:rsidDel="00000000" w:rsidR="00000000" w:rsidRPr="00000000">
        <w:rPr>
          <w:rtl w:val="0"/>
        </w:rPr>
        <w:t xml:space="preserve">Korber, S., &amp; McNaughton, R. B. (2018). Resilience and entrepreneurship: A systematic literature review. International Journal of Entrepreneurial Behavior &amp; Research, 24(7), 1129–1154.</w:t>
        <w:br w:type="textWrapping"/>
        <w:t xml:space="preserve"> https://doi.org/10.1108/IJEBR-10-2016-0356</w:t>
      </w:r>
    </w:p>
    <w:p w:rsidR="00000000" w:rsidDel="00000000" w:rsidP="00000000" w:rsidRDefault="00000000" w:rsidRPr="00000000" w14:paraId="00000027">
      <w:pPr>
        <w:spacing w:after="240" w:before="240" w:lineRule="auto"/>
        <w:rPr/>
      </w:pPr>
      <w:r w:rsidDel="00000000" w:rsidR="00000000" w:rsidRPr="00000000">
        <w:rPr>
          <w:rtl w:val="0"/>
        </w:rPr>
        <w:t xml:space="preserve">Doern, R., Williams, N., &amp; Vorley, T. (2019). Special issue on entrepreneurship and crises: Business as usual? Entrepreneurship &amp; Regional Development, 31(5–6), 400–412.</w:t>
        <w:br w:type="textWrapping"/>
        <w:t xml:space="preserve"> https://doi.org/10.1080/08985626.2019.1628808</w:t>
      </w:r>
    </w:p>
    <w:p w:rsidR="00000000" w:rsidDel="00000000" w:rsidP="00000000" w:rsidRDefault="00000000" w:rsidRPr="00000000" w14:paraId="00000028">
      <w:pPr>
        <w:spacing w:after="240" w:before="240" w:lineRule="auto"/>
        <w:rPr/>
      </w:pPr>
      <w:r w:rsidDel="00000000" w:rsidR="00000000" w:rsidRPr="00000000">
        <w:rPr>
          <w:rtl w:val="0"/>
        </w:rPr>
        <w:t xml:space="preserve">Stam, E. (2015). Entrepreneurial ecosystems and regional policy: A sympathetic critique. European Planning Studies, 23(9), 1759–1769.</w:t>
        <w:br w:type="textWrapping"/>
        <w:t xml:space="preserve"> https://doi.org/10.1080/09654313.2015.1061484</w:t>
      </w:r>
    </w:p>
    <w:p w:rsidR="00000000" w:rsidDel="00000000" w:rsidP="00000000" w:rsidRDefault="00000000" w:rsidRPr="00000000" w14:paraId="00000029">
      <w:pPr>
        <w:spacing w:after="240" w:before="240" w:lineRule="auto"/>
        <w:rPr>
          <w:color w:val="1155cc"/>
          <w:u w:val="single"/>
        </w:rPr>
      </w:pPr>
      <w:r w:rsidDel="00000000" w:rsidR="00000000" w:rsidRPr="00000000">
        <w:rPr>
          <w:rtl w:val="0"/>
        </w:rPr>
        <w:t xml:space="preserve">Hayward, M. L. A., Shepherd, D. A., &amp; Griffin, D. (2010). A hubris theory of entrepreneurship. Management Science, 52(2), 160–172.</w:t>
        <w:br w:type="textWrapping"/>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https://doi.org/10.1287/mnsc.1050.0483</w:t>
        </w:r>
      </w:hyperlink>
      <w:r w:rsidDel="00000000" w:rsidR="00000000" w:rsidRPr="00000000">
        <w:rPr>
          <w:rtl w:val="0"/>
        </w:rPr>
      </w:r>
    </w:p>
    <w:p w:rsidR="00000000" w:rsidDel="00000000" w:rsidP="00000000" w:rsidRDefault="00000000" w:rsidRPr="00000000" w14:paraId="0000002A">
      <w:pPr>
        <w:spacing w:after="240" w:before="240" w:lineRule="auto"/>
        <w:rPr>
          <w:color w:val="1155cc"/>
          <w:u w:val="single"/>
        </w:rPr>
      </w:pPr>
      <w:r w:rsidDel="00000000" w:rsidR="00000000" w:rsidRPr="00000000">
        <w:rPr>
          <w:rtl w:val="0"/>
        </w:rPr>
        <w:t xml:space="preserve">Teece, D. J. (2007). Explicating dynamic capabilities: The nature and microfoundations of sustainable enterprise performance. Strategic Management Journal, 28(13), 1319–1350.</w:t>
        <w:br w:type="textWrapping"/>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https://doi.org/10.1002/smj.640</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Williams, T. A., Gruber, D. A., Sutcliffe, K. M., Shepherd, D. A., &amp; Zhao, E. Y. (2017). Organizational response to adversity: Fusing crisis management and resilience research streams. Academy of Management Annals, 11(2), 733–769.</w:t>
        <w:br w:type="textWrapping"/>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https://doi.org/10.5465/annals.2015.0134</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8" w:w="11906" w:orient="portrait"/>
      <w:pgMar w:bottom="1134" w:top="1418"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erschrift7">
    <w:name w:val="heading 7"/>
    <w:basedOn w:val="Standard"/>
    <w:next w:val="Standard"/>
    <w:link w:val="berschrift7Zchn"/>
    <w:uiPriority w:val="9"/>
    <w:semiHidden w:val="1"/>
    <w:unhideWhenUsed w:val="1"/>
    <w:qFormat w:val="1"/>
    <w:rsid w:val="006F06C7"/>
    <w:pPr>
      <w:keepNext w:val="1"/>
      <w:keepLines w:val="1"/>
      <w:spacing w:after="0" w:before="40"/>
      <w:outlineLvl w:val="6"/>
    </w:pPr>
    <w:rPr>
      <w:rFonts w:cstheme="majorBidi" w:eastAsiaTheme="majorEastAsia"/>
      <w:color w:val="595959" w:themeColor="text1" w:themeTint="0000A6"/>
    </w:rPr>
  </w:style>
  <w:style w:type="paragraph" w:styleId="berschrift8">
    <w:name w:val="heading 8"/>
    <w:basedOn w:val="Standard"/>
    <w:next w:val="Standard"/>
    <w:link w:val="berschrift8Zchn"/>
    <w:uiPriority w:val="9"/>
    <w:semiHidden w:val="1"/>
    <w:unhideWhenUsed w:val="1"/>
    <w:qFormat w:val="1"/>
    <w:rsid w:val="006F06C7"/>
    <w:pPr>
      <w:keepNext w:val="1"/>
      <w:keepLines w:val="1"/>
      <w:spacing w:after="0"/>
      <w:outlineLvl w:val="7"/>
    </w:pPr>
    <w:rPr>
      <w:rFonts w:cstheme="majorBidi" w:eastAsiaTheme="majorEastAsia"/>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6F06C7"/>
    <w:pPr>
      <w:keepNext w:val="1"/>
      <w:keepLines w:val="1"/>
      <w:spacing w:after="0"/>
      <w:outlineLvl w:val="8"/>
    </w:pPr>
    <w:rPr>
      <w:rFonts w:cstheme="majorBidi" w:eastAsiaTheme="majorEastAsia"/>
      <w:color w:val="272727" w:themeColor="text1" w:themeTint="0000D8"/>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1Zchn" w:customStyle="1">
    <w:name w:val="Überschrift 1 Zchn"/>
    <w:basedOn w:val="Absatz-Standardschriftart"/>
    <w:link w:val="berschrift1"/>
    <w:uiPriority w:val="9"/>
    <w:rsid w:val="006F06C7"/>
    <w:rPr>
      <w:rFonts w:asciiTheme="majorHAnsi" w:cstheme="majorBidi" w:eastAsiaTheme="majorEastAsia" w:hAnsiTheme="majorHAnsi"/>
      <w:color w:val="0f4761" w:themeColor="accent1" w:themeShade="0000BF"/>
      <w:sz w:val="40"/>
      <w:szCs w:val="40"/>
    </w:rPr>
  </w:style>
  <w:style w:type="character" w:styleId="berschrift2Zchn" w:customStyle="1">
    <w:name w:val="Überschrift 2 Zchn"/>
    <w:basedOn w:val="Absatz-Standardschriftart"/>
    <w:link w:val="berschrift2"/>
    <w:uiPriority w:val="9"/>
    <w:semiHidden w:val="1"/>
    <w:rsid w:val="006F06C7"/>
    <w:rPr>
      <w:rFonts w:asciiTheme="majorHAnsi" w:cstheme="majorBidi" w:eastAsiaTheme="majorEastAsia" w:hAnsiTheme="majorHAnsi"/>
      <w:color w:val="0f4761" w:themeColor="accent1" w:themeShade="0000BF"/>
      <w:sz w:val="32"/>
      <w:szCs w:val="32"/>
    </w:rPr>
  </w:style>
  <w:style w:type="character" w:styleId="berschrift3Zchn" w:customStyle="1">
    <w:name w:val="Überschrift 3 Zchn"/>
    <w:basedOn w:val="Absatz-Standardschriftart"/>
    <w:link w:val="berschrift3"/>
    <w:uiPriority w:val="9"/>
    <w:semiHidden w:val="1"/>
    <w:rsid w:val="006F06C7"/>
    <w:rPr>
      <w:rFonts w:cstheme="majorBidi" w:eastAsiaTheme="majorEastAsia"/>
      <w:color w:val="0f4761" w:themeColor="accent1" w:themeShade="0000BF"/>
      <w:sz w:val="28"/>
      <w:szCs w:val="28"/>
    </w:rPr>
  </w:style>
  <w:style w:type="character" w:styleId="berschrift4Zchn" w:customStyle="1">
    <w:name w:val="Überschrift 4 Zchn"/>
    <w:basedOn w:val="Absatz-Standardschriftart"/>
    <w:link w:val="berschrift4"/>
    <w:uiPriority w:val="9"/>
    <w:semiHidden w:val="1"/>
    <w:rsid w:val="006F06C7"/>
    <w:rPr>
      <w:rFonts w:cstheme="majorBidi" w:eastAsiaTheme="majorEastAsia"/>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6F06C7"/>
    <w:rPr>
      <w:rFonts w:cstheme="majorBidi" w:eastAsiaTheme="majorEastAsia"/>
      <w:color w:val="0f4761" w:themeColor="accent1" w:themeShade="0000BF"/>
    </w:rPr>
  </w:style>
  <w:style w:type="character" w:styleId="berschrift6Zchn" w:customStyle="1">
    <w:name w:val="Überschrift 6 Zchn"/>
    <w:basedOn w:val="Absatz-Standardschriftart"/>
    <w:link w:val="berschrift6"/>
    <w:uiPriority w:val="9"/>
    <w:semiHidden w:val="1"/>
    <w:rsid w:val="006F06C7"/>
    <w:rPr>
      <w:rFonts w:cstheme="majorBidi" w:eastAsiaTheme="majorEastAsia"/>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6F06C7"/>
    <w:rPr>
      <w:rFonts w:cstheme="majorBidi" w:eastAsiaTheme="majorEastAsia"/>
      <w:color w:val="595959" w:themeColor="text1" w:themeTint="0000A6"/>
    </w:rPr>
  </w:style>
  <w:style w:type="character" w:styleId="berschrift8Zchn" w:customStyle="1">
    <w:name w:val="Überschrift 8 Zchn"/>
    <w:basedOn w:val="Absatz-Standardschriftart"/>
    <w:link w:val="berschrift8"/>
    <w:uiPriority w:val="9"/>
    <w:semiHidden w:val="1"/>
    <w:rsid w:val="006F06C7"/>
    <w:rPr>
      <w:rFonts w:cstheme="majorBidi" w:eastAsiaTheme="majorEastAsia"/>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6F06C7"/>
    <w:rPr>
      <w:rFonts w:cstheme="majorBidi" w:eastAsiaTheme="majorEastAsia"/>
      <w:color w:val="272727" w:themeColor="text1" w:themeTint="0000D8"/>
    </w:rPr>
  </w:style>
  <w:style w:type="character" w:styleId="TitelZchn" w:customStyle="1">
    <w:name w:val="Titel Zchn"/>
    <w:basedOn w:val="Absatz-Standardschriftart"/>
    <w:link w:val="Titel"/>
    <w:uiPriority w:val="10"/>
    <w:rsid w:val="006F06C7"/>
    <w:rPr>
      <w:rFonts w:asciiTheme="majorHAnsi" w:cstheme="majorBidi" w:eastAsiaTheme="majorEastAsia" w:hAnsiTheme="majorHAnsi"/>
      <w:spacing w:val="-10"/>
      <w:kern w:val="28"/>
      <w:sz w:val="56"/>
      <w:szCs w:val="56"/>
    </w:rPr>
  </w:style>
  <w:style w:type="character" w:styleId="UntertitelZchn" w:customStyle="1">
    <w:name w:val="Untertitel Zchn"/>
    <w:basedOn w:val="Absatz-Standardschriftart"/>
    <w:link w:val="Untertitel"/>
    <w:uiPriority w:val="11"/>
    <w:rsid w:val="006F06C7"/>
    <w:rPr>
      <w:rFonts w:cstheme="majorBidi" w:eastAsiaTheme="majorEastAsia"/>
      <w:color w:val="595959" w:themeColor="text1" w:themeTint="0000A6"/>
      <w:spacing w:val="15"/>
      <w:sz w:val="28"/>
      <w:szCs w:val="28"/>
    </w:rPr>
  </w:style>
  <w:style w:type="paragraph" w:styleId="Zitat">
    <w:name w:val="Quote"/>
    <w:basedOn w:val="Standard"/>
    <w:next w:val="Standard"/>
    <w:link w:val="ZitatZchn"/>
    <w:uiPriority w:val="29"/>
    <w:qFormat w:val="1"/>
    <w:rsid w:val="006F06C7"/>
    <w:pPr>
      <w:spacing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6F06C7"/>
    <w:rPr>
      <w:i w:val="1"/>
      <w:iCs w:val="1"/>
      <w:color w:val="404040" w:themeColor="text1" w:themeTint="0000BF"/>
    </w:rPr>
  </w:style>
  <w:style w:type="paragraph" w:styleId="Listenabsatz">
    <w:name w:val="List Paragraph"/>
    <w:basedOn w:val="Standard"/>
    <w:uiPriority w:val="34"/>
    <w:qFormat w:val="1"/>
    <w:rsid w:val="006F06C7"/>
    <w:pPr>
      <w:ind w:left="720"/>
      <w:contextualSpacing w:val="1"/>
    </w:pPr>
  </w:style>
  <w:style w:type="character" w:styleId="IntensiveHervorhebung">
    <w:name w:val="Intense Emphasis"/>
    <w:basedOn w:val="Absatz-Standardschriftart"/>
    <w:uiPriority w:val="21"/>
    <w:qFormat w:val="1"/>
    <w:rsid w:val="006F06C7"/>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6F06C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6F06C7"/>
    <w:rPr>
      <w:i w:val="1"/>
      <w:iCs w:val="1"/>
      <w:color w:val="0f4761" w:themeColor="accent1" w:themeShade="0000BF"/>
    </w:rPr>
  </w:style>
  <w:style w:type="character" w:styleId="IntensiverVerweis">
    <w:name w:val="Intense Reference"/>
    <w:basedOn w:val="Absatz-Standardschriftart"/>
    <w:uiPriority w:val="32"/>
    <w:qFormat w:val="1"/>
    <w:rsid w:val="006F06C7"/>
    <w:rPr>
      <w:b w:val="1"/>
      <w:bCs w:val="1"/>
      <w:smallCaps w:val="1"/>
      <w:color w:val="0f4761" w:themeColor="accent1" w:themeShade="0000BF"/>
      <w:spacing w:val="5"/>
    </w:rPr>
  </w:style>
  <w:style w:type="character" w:styleId="Hyperlink">
    <w:name w:val="Hyperlink"/>
    <w:basedOn w:val="Absatz-Standardschriftart"/>
    <w:uiPriority w:val="99"/>
    <w:unhideWhenUsed w:val="1"/>
    <w:rsid w:val="007B1B4B"/>
    <w:rPr>
      <w:color w:val="467886" w:themeColor="hyperlink"/>
      <w:u w:val="single"/>
    </w:rPr>
  </w:style>
  <w:style w:type="character" w:styleId="NichtaufgelsteErwhnung">
    <w:name w:val="Unresolved Mention"/>
    <w:basedOn w:val="Absatz-Standardschriftart"/>
    <w:uiPriority w:val="99"/>
    <w:semiHidden w:val="1"/>
    <w:unhideWhenUsed w:val="1"/>
    <w:rsid w:val="007B1B4B"/>
    <w:rPr>
      <w:color w:val="605e5c"/>
      <w:shd w:color="auto" w:fill="e1dfdd" w:val="clear"/>
    </w:rPr>
  </w:style>
  <w:style w:type="character" w:styleId="BesuchterLink">
    <w:name w:val="FollowedHyperlink"/>
    <w:basedOn w:val="Absatz-Standardschriftart"/>
    <w:uiPriority w:val="99"/>
    <w:semiHidden w:val="1"/>
    <w:unhideWhenUsed w:val="1"/>
    <w:rsid w:val="00C55801"/>
    <w:rPr>
      <w:color w:val="96607d" w:themeColor="followedHyperlink"/>
      <w:u w:val="single"/>
    </w:rPr>
  </w:style>
  <w:style w:type="paragraph" w:styleId="StandardWeb">
    <w:name w:val="Normal (Web)"/>
    <w:basedOn w:val="Standard"/>
    <w:uiPriority w:val="99"/>
    <w:semiHidden w:val="1"/>
    <w:unhideWhenUsed w:val="1"/>
    <w:rsid w:val="00263ACA"/>
    <w:rPr>
      <w:rFonts w:ascii="Times New Roman" w:cs="Times New Roman" w:hAnsi="Times New Roman"/>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bacademies.org/articles/resilience-as-survival-trait-for-startup-entrepreneurs-8940.html" TargetMode="External"/><Relationship Id="rId10" Type="http://schemas.openxmlformats.org/officeDocument/2006/relationships/hyperlink" Target="https://doi.org/10.1016/j.respol.2020.104049" TargetMode="External"/><Relationship Id="rId13" Type="http://schemas.openxmlformats.org/officeDocument/2006/relationships/hyperlink" Target="https://doi.org/10.1007/s40685-019-0085-7" TargetMode="External"/><Relationship Id="rId12" Type="http://schemas.openxmlformats.org/officeDocument/2006/relationships/hyperlink" Target="https://doi.org/10.1007/s40685-019-008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ilory.com/blog/startup-failure-rate" TargetMode="External"/><Relationship Id="rId15" Type="http://schemas.openxmlformats.org/officeDocument/2006/relationships/hyperlink" Target="https://doi.org/10.1287/mnsc.1050.0483" TargetMode="External"/><Relationship Id="rId14" Type="http://schemas.openxmlformats.org/officeDocument/2006/relationships/hyperlink" Target="https://doi.org/10.1287/mnsc.1050.0483" TargetMode="External"/><Relationship Id="rId17" Type="http://schemas.openxmlformats.org/officeDocument/2006/relationships/hyperlink" Target="https://doi.org/10.1002/smj.640" TargetMode="External"/><Relationship Id="rId16" Type="http://schemas.openxmlformats.org/officeDocument/2006/relationships/hyperlink" Target="https://doi.org/10.1002/smj.640" TargetMode="External"/><Relationship Id="rId5" Type="http://schemas.openxmlformats.org/officeDocument/2006/relationships/styles" Target="styles.xml"/><Relationship Id="rId19" Type="http://schemas.openxmlformats.org/officeDocument/2006/relationships/hyperlink" Target="https://doi.org/10.5465/annals.2015.0134" TargetMode="External"/><Relationship Id="rId6" Type="http://schemas.openxmlformats.org/officeDocument/2006/relationships/customXml" Target="../customXML/item1.xml"/><Relationship Id="rId18" Type="http://schemas.openxmlformats.org/officeDocument/2006/relationships/hyperlink" Target="https://doi.org/10.5465/annals.2015.0134" TargetMode="External"/><Relationship Id="rId7" Type="http://schemas.openxmlformats.org/officeDocument/2006/relationships/hyperlink" Target="https://doi.org/10.9734/jemt/2025/v31i101362" TargetMode="External"/><Relationship Id="rId8" Type="http://schemas.openxmlformats.org/officeDocument/2006/relationships/hyperlink" Target="https://ff.co/startup-statistics-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pdSXCYaVwDkaNfBtreSZhUxQag==">CgMxLjA4AHIhMW5EbE55a29NbXpHQmJnY1VtbGd1NzU4UE94MFVuU0ot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2026-02-23T10:19:00Z</dcterms:created>
  <dc:creator>Höfler Kathrin</dc:creator>
</cp:coreProperties>
</file>