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National Challenges Affecting Startup Resilience in Poland, Austria and France</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Poland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Startups operating in Poland face several structural constraints that significantly influence their resilience capacity. One of the most frequently identified barriers is </w:t>
      </w:r>
      <w:r w:rsidDel="00000000" w:rsidR="00000000" w:rsidRPr="00000000">
        <w:rPr>
          <w:b w:val="1"/>
          <w:bCs w:val="1"/>
          <w:rtl w:val="0"/>
        </w:rPr>
        <w:t xml:space="preserve">limited access to financing</w:t>
      </w:r>
      <w:r w:rsidDel="00000000" w:rsidR="00000000" w:rsidRPr="00000000">
        <w:rPr>
          <w:rtl w:val="0"/>
        </w:rPr>
        <w:t xml:space="preserve">. Despite the dynamic growth of the Polish startup ecosystem, approximately 56% of startups report difficulties in obtaining funding, while nearly two-thirds require additional investment support to sustain development (Polish Investment and Trade Agency, 2023; Antal, 2023). Financial limitations restrict experimentation, innovation activities, and the ability to absorb external shocks, thereby weakening adaptive and organizational resilience.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Human resource challenges also represent a major obstacle. </w:t>
      </w:r>
      <w:r w:rsidDel="00000000" w:rsidR="00000000" w:rsidRPr="00000000">
        <w:rPr>
          <w:b w:val="1"/>
          <w:bCs w:val="1"/>
          <w:rtl w:val="0"/>
        </w:rPr>
        <w:t xml:space="preserve">Rising labour costs</w:t>
      </w:r>
      <w:r w:rsidDel="00000000" w:rsidR="00000000" w:rsidRPr="00000000">
        <w:rPr>
          <w:rtl w:val="0"/>
        </w:rPr>
        <w:t xml:space="preserve"> and </w:t>
      </w:r>
      <w:r w:rsidDel="00000000" w:rsidR="00000000" w:rsidRPr="00000000">
        <w:rPr>
          <w:b w:val="1"/>
          <w:bCs w:val="1"/>
          <w:rtl w:val="0"/>
        </w:rPr>
        <w:t xml:space="preserve">increasing competition for qualified specialists</w:t>
      </w:r>
      <w:r w:rsidDel="00000000" w:rsidR="00000000" w:rsidRPr="00000000">
        <w:rPr>
          <w:rtl w:val="0"/>
        </w:rPr>
        <w:t xml:space="preserve"> create pressure on early-stage ventures with limited financial resources. Around half of startups report difficulties related to employment costs, and shortages of skilled employees further constrain growth (Polish Investment and Trade Agency, 2023). The expansion of multinational research and development centres intensifies competition for talent, forcing startups to rely on non-financial incentives such as organizational culture and flexible work arrangements to maintain workforce stability.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entrepreneurs frequently identify</w:t>
      </w:r>
      <w:r w:rsidDel="00000000" w:rsidR="00000000" w:rsidRPr="00000000">
        <w:rPr>
          <w:b w:val="1"/>
          <w:bCs w:val="1"/>
          <w:rtl w:val="0"/>
        </w:rPr>
        <w:t xml:space="preserve"> complex legislation and administrative burdens</w:t>
      </w:r>
      <w:r w:rsidDel="00000000" w:rsidR="00000000" w:rsidRPr="00000000">
        <w:rPr>
          <w:rtl w:val="0"/>
        </w:rPr>
        <w:t xml:space="preserve"> as barriers to business operations (Rzeczpospolita, 2023). Regulatory complexity increases uncertainty and requires founders to develop stronger behavioral resilience in navigating institutional environments. Research further indicates that maintaining work–life balance remains a significant challenge among startup founders, highlighting the importance of psychological resilience for sustaining entrepreneurial engagement over time (Kozłowski, 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Austria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Austrian startup ecosystem demonstrates relatively strong early-stage institutional support but faces structural challenges during later growth phases. Public funding instruments and seed financing programs provide favorable conditions for startup creation; however, </w:t>
      </w:r>
      <w:r w:rsidDel="00000000" w:rsidR="00000000" w:rsidRPr="00000000">
        <w:rPr>
          <w:b w:val="1"/>
          <w:bCs w:val="1"/>
          <w:rtl w:val="0"/>
        </w:rPr>
        <w:t xml:space="preserve">access to traditional bank financing remains limited</w:t>
      </w:r>
      <w:r w:rsidDel="00000000" w:rsidR="00000000" w:rsidRPr="00000000">
        <w:rPr>
          <w:rtl w:val="0"/>
        </w:rPr>
        <w:t xml:space="preserve"> because startups often lack collateral and rely primarily on intangible assets such as intellectual property (OECD, 2020).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key resilience challenge emerges during the scaling stage. Venture capital markets in Austria remain comparatively small, and securing follow-up investments exceeding €0.5 million is often difficult. As a result, startups encounter growth bottlenecks that may hinder long-term development and increase vulnerability to market disruptions (Federal Ministry for Digital and Economic Affairs, 2022). Limited exit opportunities, including rare initial public offerings due to shallow capital markets, further restrict strategic flexibility.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Austria’s </w:t>
      </w:r>
      <w:r w:rsidDel="00000000" w:rsidR="00000000" w:rsidRPr="00000000">
        <w:rPr>
          <w:b w:val="1"/>
          <w:bCs w:val="1"/>
          <w:rtl w:val="0"/>
        </w:rPr>
        <w:t xml:space="preserve">relatively small domestic market</w:t>
      </w:r>
      <w:r w:rsidDel="00000000" w:rsidR="00000000" w:rsidRPr="00000000">
        <w:rPr>
          <w:rtl w:val="0"/>
        </w:rPr>
        <w:t xml:space="preserve"> additionally encourages early internationalization, exposing startups to </w:t>
      </w:r>
      <w:r w:rsidDel="00000000" w:rsidR="00000000" w:rsidRPr="00000000">
        <w:rPr>
          <w:b w:val="1"/>
          <w:bCs w:val="1"/>
          <w:rtl w:val="0"/>
        </w:rPr>
        <w:t xml:space="preserve">higher uncertainty and operational complexity</w:t>
      </w:r>
      <w:r w:rsidDel="00000000" w:rsidR="00000000" w:rsidRPr="00000000">
        <w:rPr>
          <w:rtl w:val="0"/>
        </w:rPr>
        <w:t xml:space="preserve">. At the same time, </w:t>
      </w:r>
      <w:r w:rsidDel="00000000" w:rsidR="00000000" w:rsidRPr="00000000">
        <w:rPr>
          <w:b w:val="1"/>
          <w:bCs w:val="1"/>
          <w:rtl w:val="0"/>
        </w:rPr>
        <w:t xml:space="preserve">shortages of skilled labour and experienced managers</w:t>
      </w:r>
      <w:r w:rsidDel="00000000" w:rsidR="00000000" w:rsidRPr="00000000">
        <w:rPr>
          <w:rtl w:val="0"/>
        </w:rPr>
        <w:t xml:space="preserve"> remain persistent constraints, requiring firms to rely heavily on networks and partnerships to access knowledge and competencies. These conditions emphasize the importance of relational and adaptive resilience within the Austrian startup ecosystem.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France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French startups operate within a highly innovation-oriented environment but face structural challenges related to </w:t>
      </w:r>
      <w:r w:rsidDel="00000000" w:rsidR="00000000" w:rsidRPr="00000000">
        <w:rPr>
          <w:b w:val="1"/>
          <w:bCs w:val="1"/>
          <w:rtl w:val="0"/>
        </w:rPr>
        <w:t xml:space="preserve">recruitment, fundraising dynamics, and market development</w:t>
      </w:r>
      <w:r w:rsidDel="00000000" w:rsidR="00000000" w:rsidRPr="00000000">
        <w:rPr>
          <w:rtl w:val="0"/>
        </w:rPr>
        <w:t xml:space="preserve">. Talent acquisition represents one of the most significant obstacles, as competition for highly qualified employees is intense. Although policy instruments such as the Research Tax Credit (Crédit d’Impôt Recherche) aim to retain researchers and support innovation employment, startups must still compete with established firms offering greater job stability (OECD, 2019).</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Funding challenges are particularly pronounced at early stages of venture development. While overall investment volumes in France have increased, funding tends to concentrate on more mature ventures, leaving early-stage startups with comparatively limited access to capital. Consequently, many firms seek international investors early in their lifecycle, increasing exposure to external financial uncertainties (OECD, 2019).</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Furthermore, despite France’s large economy,</w:t>
      </w:r>
      <w:r w:rsidDel="00000000" w:rsidR="00000000" w:rsidRPr="00000000">
        <w:rPr>
          <w:b w:val="1"/>
          <w:bCs w:val="1"/>
          <w:rtl w:val="0"/>
        </w:rPr>
        <w:t xml:space="preserve"> adoption of innovative products and business models often occurs more slowly</w:t>
      </w:r>
      <w:r w:rsidDel="00000000" w:rsidR="00000000" w:rsidRPr="00000000">
        <w:rPr>
          <w:rtl w:val="0"/>
        </w:rPr>
        <w:t xml:space="preserve"> compared to global innovation leaders such as the United States.</w:t>
      </w:r>
      <w:r w:rsidDel="00000000" w:rsidR="00000000" w:rsidRPr="00000000">
        <w:rPr>
          <w:b w:val="1"/>
          <w:bCs w:val="1"/>
          <w:rtl w:val="0"/>
        </w:rPr>
        <w:t xml:space="preserve"> Delayed market adoption prolongs commercialization phases and increases financial pressure on startups</w:t>
      </w:r>
      <w:r w:rsidDel="00000000" w:rsidR="00000000" w:rsidRPr="00000000">
        <w:rPr>
          <w:rtl w:val="0"/>
        </w:rPr>
        <w:t xml:space="preserve">, reinforcing the need for strong organizational and psychological resilience to sustain operations during extended development periods.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Comparative analysis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comparison of Poland, Austria, and France demonstrates that startup resilience is strongly shaped by national ecosystem conditions, although the nature of challenges differs across contexts. Rather than representing isolated barriers, financial constraints, labour market pressures, regulatory complexity, and market structure collectively influence how startups develop and apply different dimensions of resilience.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Across all three countries, access to financing emerges as a central determinant of resilience. While Polish startups primarily struggle with obtaining initial investment, Austrian ventures face difficulties during the scaling phase, and French startups encounter imbalances between early-stage and later-stage funding opportunities. These differences suggest that adaptive and organizational resilience are not only firm-level capabilities but also responses to structural characteristics of national financial systems.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Human capital challenges appear consistently across the three ecosystems, highlighting the importance of psychological and relational resilience. Competition for skilled employees forces startups to rely on motivation, leadership, and network-based resource acquisition rather than purely financial incentives. Consequently, resilience increasingly depends on founders’ ability to maintain team stability and leverage external partnerships.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Moreover, institutional and market conditions influence strategic behavior. Regulatory complexity in Poland, limited domestic market size in Austria, and slower market adoption dynamics in France require startups to continuously adjust strategies and timelines. These pressures reinforce resilience as a dynamic process involving ongoing adaptation rather than a static organizational trait.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Overall, the comparative perspective illustrates that resilience in early-stage ventures cannot be understood independently from the broader entrepreneurial ecosystem. National environments shape which resilience dimensions become most critical, thereby supporting the study’s multi-dimensional understanding of resilience as encompassing psychological, behavioral, organizational, and relational capacities.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References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Antal. (2023). Acceleration market in Poland report: Investment support needs of start-ups. https://en.antal.pl/insights/article/2-3-of-polish-startups-require-investment-support-results-of-the-acceleration-market-in-poland-report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Federal Ministry for Digital and Economic Affairs. (2022). Funding growth and innovation in Austria: Financing conditions for SMEs and start-ups. Vienna, Austria.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Kozłowski, M. (2025). Work–life balance challenges among startup entrepreneurs. Journal of Entrepreneurship Studies, 28(2), 441–450.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Organisation for Economic Co-operation and Development (OECD). (2019). Start-up globalisation through incubation and acceleration. https://www.oecd.org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Organisation for Economic Co-operation and Development (OECD). (2020). Financing SMEs and entrepreneurs 2020. https://www.oecd.org/en/publications/financing-smes-and-entrepreneurs-2020_061fe03d-en.html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Polish Investment and Trade Agency. (2023). Poland’s start-up potential. https://www.trade.gov.pl/en/news/polands-start-up-potential/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Rzeczpospolita. (2023). Prawo uderza w biznes – Polska przestaje być atrakcyjna dla start-upów. https://pro.rp.pl/finanse/art39219661-prawo-uderza-w-biznes-polska-przestaje-byc-atrakcyjna-dla-start-upow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