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p4wa3ovl2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Liability of Newness (The Survival Gap)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measures the "friction" of being a new entity without established routines.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a scale of 1–5, how much of your daily effort is spent defining "who does what" versus actually executing tasks?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 = Roles are crystal clear; 5 = We are constantly reinventing our roles and responsibilities)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much does the "Lack of Standardized Routines" impact your team's efficiency?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High Impact (We frequently miss deadlines or make errors due to a lack of process)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Moderate Impact (We have some processes, but they change too often to be reliable)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Low Impact (We have solid, repeatable workflows in place)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Legitimacy: When pitching to clients or partners, how often do you feel you must prove your "right to exist" before you can even pitch your product?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Always ( ) Frequently ( ) Occasionally ( ) Rarely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0ut5aai5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Resource Constraints &amp; Founder Dependence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identifies the "fragility" caused by small size and centralized decision-making.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 Rate &amp; "Slack": If your primary revenue stream or funding disappeared today, how many months of "runway" does your firm have to survive a major strategic error?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Less than 3 months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3–6 months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6–12 months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12+ months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"Generalist" Burden: To what extent do you agree with the following statement: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"Our team's lack of specialized knowledge in key areas (e.g., legal, deep tech, HR) leads to lower-quality outputs."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Strongly Agree ( ) Agree ( ) Neutral ( ) Disagree ( ) Strongly Disagree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Imprinting: If the primary founder were to leave the company tomorrow, what is the likelihood the startup would survive the next 6 months?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Extremely Unlikely (The vision and social capital are tied solely to them)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Unlikely (Significant disruption, high risk of failure)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Likely (The team and systems could sustain the momentum)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6z9juho18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Rapid Adaptation &amp; The Pivot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assesses "Agility" and the balance between exploration and exploitation.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Flexibility: How quickly can your organization make a major shift in strategy (a "Pivot") once a hypothesis is proven wrong?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Immediately (Within days)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Moderately (Within 1–2 months)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Slowly (3+ months due to internal resistance or lack of resources)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Exploration vs. Exploitation: Over the last quarter, what percentage of your team's energy was spent on: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(Experimenting, testing new markets, R&amp;D): _____%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 (Executing the current model, scaling what works): _____% </w:t>
      </w:r>
      <w:r w:rsidDel="00000000" w:rsidR="00000000" w:rsidRPr="00000000">
        <w:rPr>
          <w:i w:val="1"/>
          <w:iCs w:val="1"/>
          <w:rtl w:val="0"/>
        </w:rPr>
        <w:t xml:space="preserve">(Total should equal 100%)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Validated Learning: Do you have a formal process for "Learning from Failure," or are adjustments made based on founder intuition?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Data-driven/Validated learning process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Founder/Leadership intuition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Trial and error with no formal tracking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o45ck5aj2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Demographic &amp; Contextual Data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of Startup:</w:t>
      </w:r>
      <w:r w:rsidDel="00000000" w:rsidR="00000000" w:rsidRPr="00000000">
        <w:rPr>
          <w:rtl w:val="0"/>
        </w:rPr>
        <w:t xml:space="preserve"> (Years/Months)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Headcount: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Stage:</w:t>
      </w:r>
      <w:r w:rsidDel="00000000" w:rsidR="00000000" w:rsidRPr="00000000">
        <w:rPr>
          <w:rtl w:val="0"/>
        </w:rPr>
        <w:t xml:space="preserve"> (Bootstrapped / Pre-seed / Seed / Series A+)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