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Deterding et al. - From Game Design Elements to Gamefulness: Defining Gamification</w:t>
      </w:r>
    </w:p>
    <w:p w:rsidR="00000000" w:rsidDel="00000000" w:rsidP="00000000" w:rsidRDefault="00000000" w:rsidRPr="00000000" w14:paraId="00000002">
      <w:pPr>
        <w:spacing w:after="240" w:before="240" w:lineRule="auto"/>
        <w:rPr/>
      </w:pPr>
      <w:r w:rsidDel="00000000" w:rsidR="00000000" w:rsidRPr="00000000">
        <w:rPr>
          <w:rtl w:val="0"/>
        </w:rPr>
        <w:t xml:space="preserve">This article aims to provide a clear and precise definition of gamification, addressing the conceptual confusion surrounding the term. Deterding et al. define gamification as </w:t>
      </w:r>
      <w:r w:rsidDel="00000000" w:rsidR="00000000" w:rsidRPr="00000000">
        <w:rPr>
          <w:highlight w:val="yellow"/>
          <w:rtl w:val="0"/>
        </w:rPr>
        <w:t xml:space="preserve">“the use of game design elements in non-game contexts.”</w:t>
      </w:r>
      <w:r w:rsidDel="00000000" w:rsidR="00000000" w:rsidRPr="00000000">
        <w:rPr>
          <w:rtl w:val="0"/>
        </w:rPr>
        <w:t xml:space="preserve"> The authors distinguish gamification from related concepts such as serious games, play, and game-based learning, emphasizing that gamification does not involve full games, but selected elements of game design.</w:t>
      </w:r>
    </w:p>
    <w:p w:rsidR="00000000" w:rsidDel="00000000" w:rsidP="00000000" w:rsidRDefault="00000000" w:rsidRPr="00000000" w14:paraId="00000003">
      <w:pPr>
        <w:spacing w:after="240" w:before="240" w:lineRule="auto"/>
        <w:rPr/>
      </w:pPr>
      <w:r w:rsidDel="00000000" w:rsidR="00000000" w:rsidRPr="00000000">
        <w:rPr>
          <w:rtl w:val="0"/>
        </w:rPr>
        <w:t xml:space="preserve">A key contribution of the paper is the classification of game design elements across different levels of abstraction, ranging from interface design patterns (e.g. points, badges, leaderboards), to game mechanics (e.g. challenges, competition), and broader design principles and player experiences such as motivation, engagement, and gamefulness.</w:t>
      </w:r>
    </w:p>
    <w:p w:rsidR="00000000" w:rsidDel="00000000" w:rsidP="00000000" w:rsidRDefault="00000000" w:rsidRPr="00000000" w14:paraId="00000004">
      <w:pPr>
        <w:spacing w:after="240" w:before="240" w:lineRule="auto"/>
        <w:rPr/>
      </w:pPr>
      <w:r w:rsidDel="00000000" w:rsidR="00000000" w:rsidRPr="00000000">
        <w:rPr>
          <w:rtl w:val="0"/>
        </w:rPr>
        <w:t xml:space="preserve">The authors argue that effective gamification should aim to create gameful experiences, not merely add reward systems. Poorly designed gamification risks becoming superficial and failing to engage users meaningfully. The paper also stresses the importance of context, user needs, and psychological foundations when applying game elements.</w:t>
      </w:r>
    </w:p>
    <w:p w:rsidR="00000000" w:rsidDel="00000000" w:rsidP="00000000" w:rsidRDefault="00000000" w:rsidRPr="00000000" w14:paraId="00000005">
      <w:pPr>
        <w:spacing w:after="240" w:before="240" w:lineRule="auto"/>
        <w:rPr>
          <w:rFonts w:ascii="Roboto" w:cs="Roboto" w:eastAsia="Roboto" w:hAnsi="Roboto"/>
          <w:b w:val="1"/>
          <w:bCs w:val="1"/>
          <w:sz w:val="28"/>
          <w:szCs w:val="28"/>
        </w:rPr>
      </w:pPr>
      <w:r w:rsidDel="00000000" w:rsidR="00000000" w:rsidRPr="00000000">
        <w:rPr>
          <w:rtl w:val="0"/>
        </w:rPr>
        <w:t xml:space="preserve">Overall, the article establishes a theoretical foundation for gamification research, offering a shared vocabulary and conceptual clarity for future empirical and design-oriented studies.</w:t>
        <w:br w:type="textWrapping"/>
      </w:r>
      <w:hyperlink r:id="rId6">
        <w:r w:rsidDel="00000000" w:rsidR="00000000" w:rsidRPr="00000000">
          <w:rPr>
            <w:color w:val="1155cc"/>
            <w:u w:val="single"/>
            <w:rtl w:val="0"/>
          </w:rPr>
          <w:t xml:space="preserve">From game design elements to gamefulness</w:t>
        </w:r>
      </w:hyperlink>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lsolqsxe78fk" w:id="0"/>
      <w:bookmarkEnd w:id="0"/>
      <w:r w:rsidDel="00000000" w:rsidR="00000000" w:rsidRPr="00000000">
        <w:rPr>
          <w:rFonts w:ascii="Roboto" w:cs="Roboto" w:eastAsia="Roboto" w:hAnsi="Roboto"/>
          <w:b w:val="1"/>
          <w:bCs w:val="1"/>
          <w:sz w:val="28"/>
          <w:szCs w:val="28"/>
          <w:rtl w:val="0"/>
        </w:rPr>
        <w:t xml:space="preserve">Sailer &amp; Homner - </w:t>
      </w:r>
      <w:r w:rsidDel="00000000" w:rsidR="00000000" w:rsidRPr="00000000">
        <w:rPr>
          <w:b w:val="1"/>
          <w:bCs w:val="1"/>
          <w:sz w:val="26"/>
          <w:szCs w:val="26"/>
          <w:rtl w:val="0"/>
        </w:rPr>
        <w:t xml:space="preserve">The Gamification of Learning: a Meta-analysis </w:t>
      </w:r>
    </w:p>
    <w:p w:rsidR="00000000" w:rsidDel="00000000" w:rsidP="00000000" w:rsidRDefault="00000000" w:rsidRPr="00000000" w14:paraId="00000008">
      <w:pPr>
        <w:spacing w:after="240" w:before="240" w:lineRule="auto"/>
        <w:rPr>
          <w:highlight w:val="yellow"/>
        </w:rPr>
      </w:pPr>
      <w:r w:rsidDel="00000000" w:rsidR="00000000" w:rsidRPr="00000000">
        <w:rPr>
          <w:rtl w:val="0"/>
        </w:rPr>
        <w:t xml:space="preserve">Sailer and Homner’s meta-analysis examines the impact of gamification in education, focusing on student motivation and engagement.</w:t>
      </w:r>
      <w:r w:rsidDel="00000000" w:rsidR="00000000" w:rsidRPr="00000000">
        <w:rPr>
          <w:highlight w:val="yellow"/>
          <w:rtl w:val="0"/>
        </w:rPr>
        <w:t xml:space="preserve"> The results show that gamification can positively influence motivation, but its effectiveness strongly depends on thoughtful and theory-based design.</w:t>
      </w:r>
    </w:p>
    <w:p w:rsidR="00000000" w:rsidDel="00000000" w:rsidP="00000000" w:rsidRDefault="00000000" w:rsidRPr="00000000" w14:paraId="00000009">
      <w:pPr>
        <w:spacing w:after="240" w:before="240" w:lineRule="auto"/>
        <w:rPr/>
      </w:pPr>
      <w:r w:rsidDel="00000000" w:rsidR="00000000" w:rsidRPr="00000000">
        <w:rPr>
          <w:highlight w:val="yellow"/>
          <w:rtl w:val="0"/>
        </w:rPr>
        <w:t xml:space="preserve">Simple gamification elements such as points, badges, or leaderboards may increase short-term engagement, but they often fail to support long-term intrinsic motivation.</w:t>
      </w:r>
      <w:r w:rsidDel="00000000" w:rsidR="00000000" w:rsidRPr="00000000">
        <w:rPr>
          <w:rtl w:val="0"/>
        </w:rPr>
        <w:t xml:space="preserve"> More effective are complex gamified designs that address learners’ basic psychological needs as described by Self-Determination Theory (autonomy, competence, and relatedness).</w:t>
      </w:r>
    </w:p>
    <w:p w:rsidR="00000000" w:rsidDel="00000000" w:rsidP="00000000" w:rsidRDefault="00000000" w:rsidRPr="00000000" w14:paraId="0000000A">
      <w:pPr>
        <w:spacing w:after="240" w:before="240" w:lineRule="auto"/>
        <w:rPr/>
      </w:pPr>
      <w:r w:rsidDel="00000000" w:rsidR="00000000" w:rsidRPr="00000000">
        <w:rPr>
          <w:rtl w:val="0"/>
        </w:rPr>
        <w:t xml:space="preserve">In particular, designs that integrate social elements (cooperation and competition) and contextualized structures such as missions or narrative frameworks are more effective than isolated reward systems. These approaches provide meaning, support engagement, and foster sustained motivation.</w:t>
      </w:r>
    </w:p>
    <w:p w:rsidR="00000000" w:rsidDel="00000000" w:rsidP="00000000" w:rsidRDefault="00000000" w:rsidRPr="00000000" w14:paraId="0000000B">
      <w:pPr>
        <w:spacing w:after="240" w:before="240" w:lineRule="auto"/>
        <w:rPr>
          <w:sz w:val="24"/>
          <w:szCs w:val="24"/>
        </w:rPr>
      </w:pPr>
      <w:r w:rsidDel="00000000" w:rsidR="00000000" w:rsidRPr="00000000">
        <w:rPr>
          <w:rtl w:val="0"/>
        </w:rPr>
        <w:t xml:space="preserve">Overall, the meta-analysis concludes that gamification is most effective when it is meaningful, socially embedded, and purposefully designed, rather than added superficially to learning environments.</w:t>
        <w:br w:type="textWrapping"/>
      </w:r>
      <w:hyperlink r:id="rId7">
        <w:r w:rsidDel="00000000" w:rsidR="00000000" w:rsidRPr="00000000">
          <w:rPr>
            <w:color w:val="1155cc"/>
            <w:u w:val="single"/>
            <w:rtl w:val="0"/>
          </w:rPr>
          <w:t xml:space="preserve">The Gamification of Learning: a Meta-analysis</w:t>
        </w:r>
      </w:hyperlink>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Roboto" w:cs="Roboto" w:eastAsia="Roboto" w:hAnsi="Roboto"/>
          <w:b w:val="1"/>
          <w:bCs w:val="1"/>
          <w:sz w:val="28"/>
          <w:szCs w:val="28"/>
          <w:rtl w:val="0"/>
        </w:rPr>
        <w:t xml:space="preserve">Pérez López, I. J.  - GAMIFICATION TO ENHANCE UNIVERSITY STUDENTS' RESILIENCE: TRANSFORMING CHALLENGES INTO OPPORTUNITIES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Pérez López (2025) examines the effects of a gamification-based intervention on students’ resilience in higher education. The study investigates whether structured gamified learning activities can strengthen students’ ability to cope with academic stress, challenges, and setbacks.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yellow"/>
        </w:rPr>
      </w:pPr>
      <w:r w:rsidDel="00000000" w:rsidR="00000000" w:rsidRPr="00000000">
        <w:rPr>
          <w:highlight w:val="yellow"/>
          <w:rtl w:val="0"/>
        </w:rPr>
        <w:t xml:space="preserve">The findings indicate that gamification can positively influence student resilience, particularly when interventions include clear goals, progressive challenges, feedback, and opportunities for reflection. Gamified activities helped students develop perseverance, adaptability, and confidence in managing demanding learning situations.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rtl w:val="0"/>
        </w:rPr>
        <w:t xml:space="preserve">The study also highlights the importance of social interaction and engagement, showing that collaborative and motivating game-based elements contribute to emotional support and persistence. Overall, Pérez López concludes that well-designed gamification-based interventions can be an effective tool for enhancing not only motivation but also psychological resilience among university students.</w:t>
        <w:br w:type="textWrapping"/>
      </w:r>
      <w:hyperlink r:id="rId8">
        <w:r w:rsidDel="00000000" w:rsidR="00000000" w:rsidRPr="00000000">
          <w:rPr>
            <w:color w:val="1155cc"/>
            <w:u w:val="single"/>
            <w:rtl w:val="0"/>
          </w:rPr>
          <w:t xml:space="preserve">GAMIFICATION TO ENHANCE UNIVERSITY STUDENTS'RESILIENCE: TRANSFORMING CHALLENGES INTO OPPORTUNITIES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r w:rsidDel="00000000" w:rsidR="00000000" w:rsidRPr="00000000">
        <w:rPr>
          <w:b w:val="1"/>
          <w:bCs w:val="1"/>
          <w:sz w:val="28"/>
          <w:szCs w:val="28"/>
          <w:rtl w:val="0"/>
        </w:rPr>
        <w:t xml:space="preserve">Polytechnique Insights - How gamification can build cognitive resilience to complex crisis situations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article discusses the concept of cognitive resilience, defined as the ability to remain calm, adapt, and make effective decisions under stress, uncertainty, and information overload—especially in complex crisis situations. Traditional training methods, which tend to rely on predictable scenarios and linear simulations, are increasingly insufficient for preparing decision-makers (both civilian and military) for contemporary hybrid and chaotic crises.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highlight w:val="yellow"/>
        </w:rPr>
      </w:pPr>
      <w:r w:rsidDel="00000000" w:rsidR="00000000" w:rsidRPr="00000000">
        <w:rPr>
          <w:rtl w:val="0"/>
        </w:rPr>
        <w:t xml:space="preserve">To address this gap, the authors argue that simulation and gamification offer more dynamic and interactive training environments that better reflect the complexity of real-world crises. </w:t>
      </w:r>
      <w:r w:rsidDel="00000000" w:rsidR="00000000" w:rsidRPr="00000000">
        <w:rPr>
          <w:highlight w:val="yellow"/>
          <w:rtl w:val="0"/>
        </w:rPr>
        <w:t xml:space="preserve">Well-designed gamified simulations can stimulate cognitive complexity, requiring participants to make decisions in uncertain and evolving conditions, which supports the development of adaptability, stress management, and decision-making skills.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article also highlights initiatives by major powers—such as immersive simulators with biometric feedback or AI-generated scenarios—that aim to enhance cognitive training. However, it emphasizes that the ethical implications of these technologies (e.g., data protection, manipulation risks) must be carefully managed.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highlight w:val="yellow"/>
          <w:rtl w:val="0"/>
        </w:rPr>
        <w:t xml:space="preserve">Overall, gamification is presented not merely as a “fun tool,” but as a strategic method for strengthening cognitive resilience in the face of complex, unpredictable crises—provided that ethical and human-centered considerations are integrated into design and implementation.</w:t>
      </w:r>
      <w:r w:rsidDel="00000000" w:rsidR="00000000" w:rsidRPr="00000000">
        <w:rPr>
          <w:rtl w:val="0"/>
        </w:rPr>
        <w:br w:type="textWrapping"/>
      </w:r>
      <w:hyperlink r:id="rId9">
        <w:r w:rsidDel="00000000" w:rsidR="00000000" w:rsidRPr="00000000">
          <w:rPr>
            <w:color w:val="1155cc"/>
            <w:u w:val="single"/>
            <w:rtl w:val="0"/>
          </w:rPr>
          <w:t xml:space="preserve">How gamification can build cognitive resilience to complex crisis situations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r w:rsidDel="00000000" w:rsidR="00000000" w:rsidRPr="00000000">
        <w:rPr>
          <w:b w:val="1"/>
          <w:bCs w:val="1"/>
          <w:sz w:val="28"/>
          <w:szCs w:val="28"/>
          <w:rtl w:val="0"/>
        </w:rPr>
        <w:t xml:space="preserve">Resonant Games: Design Principles for Learning Games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“Resonant Games: Design Principles for Learning Games”</w:t>
      </w:r>
      <w:r w:rsidDel="00000000" w:rsidR="00000000" w:rsidRPr="00000000">
        <w:rPr>
          <w:rtl w:val="0"/>
        </w:rPr>
        <w:t xml:space="preserve"> focuses on how learning games can be designed to create meaningful, lasting experiences rather than short-term engagement. The chapter introduces the concept of resonance, referring to the degree to which a game emotionally, cognitively, and socially connects with players and supports deep learning.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authors argue that effective learning games are not defined by isolated game mechanics, but by coherent systems that integrate narrative, challenge, player agency, feedback, and reflection. Resonant games encourage players to make sense of complex situations, experiment with decisions, and reflect on consequences, thereby supporting deeper understanding and skill development.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 central argument is that learning emerges from experience, not from rewards. Games should therefore be designed to foster intrinsic motivation, curiosity, and meaning-making, rather than relying on external incentives such as points or badges. Narrative structures, meaningful goals, and social interaction are highlighted as key elements that increase engagement and cognitive involvement.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chapter also emphasizes that resonance depends on alignment between learning objectives and game design. When gameplay mechanics, story, and learning goals reinforce one another, games are more likely to produce transferable knowledge, critical thinking, and sustained motivation.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Overall, the authors advocate for a shift from superficial gamification toward thoughtfully designed learning games that support reflection, emotional engagement, and complex problem-solving.</w:t>
        <w:br w:type="textWrapping"/>
      </w:r>
      <w:hyperlink r:id="rId10">
        <w:r w:rsidDel="00000000" w:rsidR="00000000" w:rsidRPr="00000000">
          <w:rPr>
            <w:color w:val="1155cc"/>
            <w:u w:val="single"/>
            <w:rtl w:val="0"/>
          </w:rPr>
          <w:t xml:space="preserve">Resonant Games: Design Principles for Learning Games that Connect Hearts, Minds, and the Everyday | Books Gateway | MIT Press</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irect.mit.edu/books/oa-monograph/4472/Resonant-GamesDesign-Principles-for-Learning-Games" TargetMode="External"/><Relationship Id="rId9" Type="http://schemas.openxmlformats.org/officeDocument/2006/relationships/hyperlink" Target="https://www.polytechnique-insights.com/en/columns/science/cognitive-resilience-in-the-face-of-complex-crises-the-challenge-of-gamification/" TargetMode="External"/><Relationship Id="rId5" Type="http://schemas.openxmlformats.org/officeDocument/2006/relationships/styles" Target="styles.xml"/><Relationship Id="rId6" Type="http://schemas.openxmlformats.org/officeDocument/2006/relationships/hyperlink" Target="https://dl.acm.org/doi/epdf/10.1145/2181037.2181040" TargetMode="External"/><Relationship Id="rId7" Type="http://schemas.openxmlformats.org/officeDocument/2006/relationships/hyperlink" Target="https://d-nb.info/1202307655/34" TargetMode="External"/><Relationship Id="rId8" Type="http://schemas.openxmlformats.org/officeDocument/2006/relationships/hyperlink" Target="https://digibug.ugr.es/bitstream/handle/10481/107419/BlindTime_Resiliencia_CCD_25.pdf?sequence=1&amp;isAllowe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