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Resilience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https://www.sciencedirect.com/science/article/abs/pii/S0167487014000063?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benefits of resilience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https://drh.ma/sante-et-bien-etre-des-collaborateurs-grace-a-la-gamification/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compagny that uses gay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ind w:left="720" w:firstLine="0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Target:</w:t>
        <w:br w:type="textWrapping"/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Target, the retail giant, implemented a gamification program called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4"/>
          <w:szCs w:val="24"/>
          <w:rtl w:val="0"/>
        </w:rPr>
        <w:t xml:space="preserve">“Walk the Talk.”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This program encourages employees to walk more by offering daily and weekly walking challenges. Employees can track their progress through a mobile app and earn rewards by reaching their step goals.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Google:</w:t>
        <w:br w:type="textWrapping"/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Google, known for its innovative work environment, has integrated gamification into its wellness program by creating fitness and nutrition challenges. Employees can sign up for team-based challenges, such as running or preparing healthy meals, and earn points for their team by achieving specific goals.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Marriott:</w:t>
        <w:br w:type="textWrapping"/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Marriott International developed a mobile game called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4"/>
          <w:szCs w:val="24"/>
          <w:rtl w:val="0"/>
        </w:rPr>
        <w:t xml:space="preserve">“TakeCare Level30,”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designed to encourage employees to adopt healthy behaviors. The game offers daily challenges in various categories, such as nutrition, exercise, and mental well-being. Employees earn points and badges by completing these challenges, which motivates them to continue their efforts.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