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30.0" w:type="dxa"/>
        <w:jc w:val="left"/>
        <w:tblInd w:w="-3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460"/>
        <w:gridCol w:w="4170"/>
        <w:tblGridChange w:id="0">
          <w:tblGrid>
            <w:gridCol w:w="3000"/>
            <w:gridCol w:w="2460"/>
            <w:gridCol w:w="41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René Waidacher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+43 6502328387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rene.waidacher@edu.fh-joanneum.at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Kathrin Hoefler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+43 6646314635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kathrin.hoefler@edu.fh-joanneum.at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Stanislaw Polko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+48 505323458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Olivia Woldeyes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+48 502345153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olivia.woldeyes@edu.uekat.pl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Emilien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+33 643147081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emilien.lamaletie@gmail.com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emilien.lamaletie.etu@univ-lille.fr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Lefebvre Romain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+33 602490590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romain.lefebvre2.etu@univ-lille.fr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HERE Emilien—-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https://www.sciencedirect.com/science/article/abs/pii/S0167487014000063?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https://drh.ma/sante-et-bien-etre-des-collaborateurs-grace-a-la-gamification/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8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Target: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Target, the retail giant, implemented a gamification program called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sz w:val="24"/>
          <w:szCs w:val="24"/>
          <w:rtl w:val="0"/>
        </w:rPr>
        <w:t xml:space="preserve">“Walk the Talk.”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This program encourages employees to walk more by offering daily and weekly walking challenges. Employees can track their progress through a mobile app and earn rewards by reaching their step goals.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Google: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Google, known for its innovative work environment, has integrated gamification into its wellness program by creating fitness and nutrition challenges. Employees can sign up for team-based challenges, such as running or preparing healthy meals, and earn points for their team by achieving specific goals.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Rule="auto"/>
        <w:ind w:left="720" w:firstLine="0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sz w:val="24"/>
          <w:szCs w:val="24"/>
          <w:rtl w:val="0"/>
        </w:rPr>
        <w:t xml:space="preserve">Marriott:</w:t>
        <w:br w:type="textWrapping"/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Marriott International developed a mobile game called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sz w:val="24"/>
          <w:szCs w:val="24"/>
          <w:rtl w:val="0"/>
        </w:rPr>
        <w:t xml:space="preserve">“TakeCare Level30,”</w:t>
      </w:r>
      <w:r w:rsidDel="00000000" w:rsidR="00000000" w:rsidRPr="00000000">
        <w:rPr>
          <w:rFonts w:ascii="Roboto" w:cs="Roboto" w:eastAsia="Roboto" w:hAnsi="Roboto"/>
          <w:color w:val="333333"/>
          <w:sz w:val="24"/>
          <w:szCs w:val="24"/>
          <w:rtl w:val="0"/>
        </w:rPr>
        <w:t xml:space="preserve"> designed to encourage employees to adopt healthy behaviors. The game offers daily challenges in various categories, such as nutrition, exercise, and mental well-being. Employees earn points and badges by completing these challenges, which motivates them to continue their efforts.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80" w:lineRule="auto"/>
        <w:ind w:left="720" w:firstLine="0"/>
        <w:rPr>
          <w:rFonts w:ascii="Roboto" w:cs="Roboto" w:eastAsia="Roboto" w:hAnsi="Roboto"/>
          <w:b w:val="1"/>
          <w:bCs w:val="1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ene.waidacher@edu.fh-joanneum.at" TargetMode="External"/><Relationship Id="rId7" Type="http://schemas.openxmlformats.org/officeDocument/2006/relationships/hyperlink" Target="mailto:kathrin.hoefler@edu.fh-joanneum.at" TargetMode="External"/><Relationship Id="rId8" Type="http://schemas.openxmlformats.org/officeDocument/2006/relationships/hyperlink" Target="mailto:emilien.lamaletie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