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Stock Clerk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Motivated Stock Clerk with a drive for providing excellent service and achieving all stocking needs. Organized and highly efficient in project management with a strong attention to detail. Experienced in working with both small and large inventory needs. Bringing forth an independent work spirit as well as the ability to work well with others.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Stock Clerk at JBC Goods, New York</w:t>
                  </w:r>
                </w:p>
                <w:p>
                  <w:pPr>
                    <w:pStyle w:val="Date"/>
                  </w:pPr>
                  <w:r>
                    <w:t xml:space="preserve">July 2014 — February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Received and transported materials from inspection areas to stock.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Organized and maintained stock orders prior to shelving.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Stocked shelves in an efficient and organized way.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Filled out paperwork and stocking sheets accurately.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with other store employees in a collaborative way. </w:t>
                  </w:r>
                </w:p>
                <w:p>
                  <w:pPr>
                    <w:pStyle w:val="Heading2"/>
                  </w:pPr>
                  <w:r>
                    <w:t xml:space="preserve">Stock Clerk at AJ's Wholesale Store, Boston</w:t>
                  </w:r>
                </w:p>
                <w:p>
                  <w:pPr>
                    <w:pStyle w:val="Date"/>
                  </w:pPr>
                  <w:r>
                    <w:t xml:space="preserve">November 2010 — June 2014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Worked to keep shelves and floors free of garbage and clutter.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Stocked items in a way that supported an overall neat appearance.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Kept meticulous logs of stocked items and reported item traffic in the computer systems.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Utilized store pallet jack appropriately and efficiently.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Worked with superiors and colleagues in a positive way.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High School Diploma, Andre Bishop High School, Boston</w:t>
                  </w:r>
                </w:p>
                <w:p>
                  <w:pPr>
                    <w:pStyle w:val="Date"/>
                  </w:pPr>
                  <w:r>
                    <w:t xml:space="preserve">September 2007 — June 2011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Bob Higgins from AJ's Wholesale Store</w:t>
                  </w:r>
                </w:p>
                <w:p>
                  <w:hyperlink w:history="1" r:id="rId47137">
                    <w:r>
                      <w:rPr>
                        <w:rStyle w:val="Hyperlink"/>
                      </w:rPr>
                      <w:t xml:space="preserve">bobhiggins@ajwholesale.com</w:t>
                    </w:r>
                  </w:hyperlink>
                  <w:r>
                    <w:t xml:space="preserve">  ·  </w:t>
                  </w:r>
                  <w:r>
                    <w:t xml:space="preserve">546-446-8765</w:t>
                  </w:r>
                </w:p>
                <w:p>
                  <w:pPr>
                    <w:pStyle w:val="Heading2"/>
                  </w:pPr>
                  <w:r>
                    <w:t xml:space="preserve">Maria Ramirez from JBC Goods</w:t>
                  </w:r>
                </w:p>
                <w:p>
                  <w:hyperlink w:history="1" r:id="rId12602">
                    <w:r>
                      <w:rPr>
                        <w:rStyle w:val="Hyperlink"/>
                      </w:rPr>
                      <w:t xml:space="preserve">ramirezm@jbcgoods.com</w:t>
                    </w:r>
                  </w:hyperlink>
                  <w:r>
                    <w:t xml:space="preserve">  ·  </w:t>
                  </w:r>
                  <w:r>
                    <w:t xml:space="preserve">718-556-4657</w:t>
                  </w:r>
                </w:p>
                <w:p>
                  <w:pPr>
                    <w:pStyle w:val="Heading2"/>
                  </w:pPr>
                  <w:r>
                    <w:t xml:space="preserve">Benjamin Loone from JBC Goods</w:t>
                  </w:r>
                </w:p>
                <w:p>
                  <w:hyperlink w:history="1" r:id="rId58997">
                    <w:r>
                      <w:rPr>
                        <w:rStyle w:val="Hyperlink"/>
                      </w:rPr>
                      <w:t xml:space="preserve">bloone@jbcgoods.com</w:t>
                    </w:r>
                  </w:hyperlink>
                  <w:r>
                    <w:t xml:space="preserve">  ·  </w:t>
                  </w:r>
                  <w:r>
                    <w:t xml:space="preserve">212-665-7689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Effective Time Management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Collaboration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Heavy Lifting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Highly organized and efficient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Customer Service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r>
              <w:t xml:space="preserve">Reading, Hiking, Golf
</w:t>
            </w: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7137" Type="http://schemas.openxmlformats.org/officeDocument/2006/relationships/hyperlink" Target="mailto:bobhiggins@ajwholesale.com" TargetMode="External"/><Relationship Id="rId12602" Type="http://schemas.openxmlformats.org/officeDocument/2006/relationships/hyperlink" Target="mailto:ramirezm@jbcgoods.com" TargetMode="External"/><Relationship Id="rId58997" Type="http://schemas.openxmlformats.org/officeDocument/2006/relationships/hyperlink" Target="mailto:bloone@jbcgoods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oap5jle40rru5sf21ag7y.png"/><Relationship Id="rId11" Type="http://schemas.openxmlformats.org/officeDocument/2006/relationships/image" Target="media/s256pchfhnr4oc4i0ya5ml.png"/><Relationship Id="rId12" Type="http://schemas.openxmlformats.org/officeDocument/2006/relationships/image" Target="media/02z8xnab9t33lq8urzmnbie.png"/><Relationship Id="rId13" Type="http://schemas.openxmlformats.org/officeDocument/2006/relationships/image" Target="media/lplzdizarxp6ozaielc88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2022-02-25T02:00:21Z</dcterms:created>
  <dcterms:modified xsi:type="dcterms:W3CDTF">2022-02-25T02:00:21Z</dcterms:modified>
</cp:coreProperties>
</file>