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24186" w14:textId="77777777" w:rsidR="009311C7" w:rsidRPr="009311C7" w:rsidRDefault="009311C7" w:rsidP="009311C7">
      <w:pPr>
        <w:rPr>
          <w:lang w:val="es-MX"/>
        </w:rPr>
      </w:pPr>
      <w:r w:rsidRPr="009311C7">
        <w:rPr>
          <w:lang w:val="es-MX"/>
        </w:rPr>
        <w:t xml:space="preserve">Este capítulo analiza las limitaciones de los indicadores unidimensionales, en particular los basados en el gasto energético, para medir la </w:t>
      </w:r>
      <w:r w:rsidRPr="009311C7">
        <w:rPr>
          <w:b/>
          <w:bCs/>
          <w:lang w:val="es-MX"/>
        </w:rPr>
        <w:t>pobreza energética</w:t>
      </w:r>
      <w:r w:rsidRPr="009311C7">
        <w:rPr>
          <w:lang w:val="es-MX"/>
        </w:rPr>
        <w:t xml:space="preserve">, un fenómeno cada vez más reconocido como </w:t>
      </w:r>
      <w:r w:rsidRPr="009311C7">
        <w:rPr>
          <w:b/>
          <w:bCs/>
          <w:lang w:val="es-MX"/>
        </w:rPr>
        <w:t>multidimensional</w:t>
      </w:r>
      <w:r w:rsidRPr="009311C7">
        <w:rPr>
          <w:lang w:val="es-MX"/>
        </w:rPr>
        <w:t>. Los autores abordan cómo diferentes enfoques y metodologías pueden generar resultados dispares, centrándose en el caso de Argentina, específicamente en la provincia de Buenos Aires. También reflexionan sobre la necesidad de adoptar indicadores más integrales que consideren las múltiples dimensiones de la pobreza energética, como el acceso, la calidad del servicio, la eficiencia energética y las condiciones socioeconómicas.</w:t>
      </w:r>
    </w:p>
    <w:p w14:paraId="0628BB07" w14:textId="77777777" w:rsidR="009311C7" w:rsidRPr="009311C7" w:rsidRDefault="009311C7" w:rsidP="009311C7">
      <w:r w:rsidRPr="009311C7">
        <w:pict w14:anchorId="61A46295">
          <v:rect id="_x0000_i1061" style="width:0;height:1.5pt" o:hralign="center" o:hrstd="t" o:hr="t" fillcolor="#a0a0a0" stroked="f"/>
        </w:pict>
      </w:r>
    </w:p>
    <w:p w14:paraId="639BAD12" w14:textId="77777777" w:rsidR="009311C7" w:rsidRPr="009311C7" w:rsidRDefault="009311C7" w:rsidP="009311C7">
      <w:pPr>
        <w:rPr>
          <w:b/>
          <w:bCs/>
        </w:rPr>
      </w:pPr>
      <w:r w:rsidRPr="009311C7">
        <w:rPr>
          <w:b/>
          <w:bCs/>
        </w:rPr>
        <w:t>1. Introducción</w:t>
      </w:r>
    </w:p>
    <w:p w14:paraId="664B67D9" w14:textId="77777777" w:rsidR="009311C7" w:rsidRPr="009311C7" w:rsidRDefault="009311C7" w:rsidP="009311C7">
      <w:pPr>
        <w:numPr>
          <w:ilvl w:val="0"/>
          <w:numId w:val="1"/>
        </w:numPr>
        <w:rPr>
          <w:lang w:val="es-MX"/>
        </w:rPr>
      </w:pPr>
      <w:r w:rsidRPr="009311C7">
        <w:rPr>
          <w:b/>
          <w:bCs/>
          <w:lang w:val="es-MX"/>
        </w:rPr>
        <w:t>Pobreza energética como fenómeno multidimensional:</w:t>
      </w:r>
    </w:p>
    <w:p w14:paraId="75DBE7A4" w14:textId="77777777" w:rsidR="009311C7" w:rsidRPr="009311C7" w:rsidRDefault="009311C7" w:rsidP="009311C7">
      <w:pPr>
        <w:numPr>
          <w:ilvl w:val="1"/>
          <w:numId w:val="1"/>
        </w:numPr>
        <w:rPr>
          <w:lang w:val="es-MX"/>
        </w:rPr>
      </w:pPr>
      <w:r w:rsidRPr="009311C7">
        <w:rPr>
          <w:lang w:val="es-MX"/>
        </w:rPr>
        <w:t xml:space="preserve">Se define como la </w:t>
      </w:r>
      <w:r w:rsidRPr="009311C7">
        <w:rPr>
          <w:b/>
          <w:bCs/>
          <w:lang w:val="es-MX"/>
        </w:rPr>
        <w:t>privación de servicios energéticos esenciales</w:t>
      </w:r>
      <w:r w:rsidRPr="009311C7">
        <w:rPr>
          <w:lang w:val="es-MX"/>
        </w:rPr>
        <w:t xml:space="preserve"> para la vida humana, causada por la falta de acceso, cantidad o calidad de la energía y los equipos necesarios.</w:t>
      </w:r>
    </w:p>
    <w:p w14:paraId="1052696E" w14:textId="77777777" w:rsidR="009311C7" w:rsidRPr="009311C7" w:rsidRDefault="009311C7" w:rsidP="009311C7">
      <w:pPr>
        <w:numPr>
          <w:ilvl w:val="1"/>
          <w:numId w:val="1"/>
        </w:numPr>
        <w:rPr>
          <w:lang w:val="es-MX"/>
        </w:rPr>
      </w:pPr>
      <w:r w:rsidRPr="009311C7">
        <w:rPr>
          <w:lang w:val="es-MX"/>
        </w:rPr>
        <w:t xml:space="preserve">Los factores que contribuyen incluyen cuestiones </w:t>
      </w:r>
      <w:r w:rsidRPr="009311C7">
        <w:rPr>
          <w:b/>
          <w:bCs/>
          <w:lang w:val="es-MX"/>
        </w:rPr>
        <w:t>socioeconómicas, geográficas, culturales y estructurales</w:t>
      </w:r>
      <w:r w:rsidRPr="009311C7">
        <w:rPr>
          <w:lang w:val="es-MX"/>
        </w:rPr>
        <w:t xml:space="preserve"> de las viviendas.</w:t>
      </w:r>
    </w:p>
    <w:p w14:paraId="44A35556" w14:textId="77777777" w:rsidR="009311C7" w:rsidRPr="009311C7" w:rsidRDefault="009311C7" w:rsidP="009311C7">
      <w:pPr>
        <w:numPr>
          <w:ilvl w:val="1"/>
          <w:numId w:val="1"/>
        </w:numPr>
        <w:rPr>
          <w:lang w:val="es-MX"/>
        </w:rPr>
      </w:pPr>
      <w:r w:rsidRPr="009311C7">
        <w:rPr>
          <w:lang w:val="es-MX"/>
        </w:rPr>
        <w:t xml:space="preserve">En su forma más extrema, conocida como </w:t>
      </w:r>
      <w:r w:rsidRPr="009311C7">
        <w:rPr>
          <w:b/>
          <w:bCs/>
          <w:lang w:val="es-MX"/>
        </w:rPr>
        <w:t>indigencia energética</w:t>
      </w:r>
      <w:r w:rsidRPr="009311C7">
        <w:rPr>
          <w:lang w:val="es-MX"/>
        </w:rPr>
        <w:t>, se refiere a la falta total de acceso a servicios energéticos.</w:t>
      </w:r>
    </w:p>
    <w:p w14:paraId="490D9CCF" w14:textId="77777777" w:rsidR="009311C7" w:rsidRPr="009311C7" w:rsidRDefault="009311C7" w:rsidP="009311C7">
      <w:pPr>
        <w:numPr>
          <w:ilvl w:val="0"/>
          <w:numId w:val="1"/>
        </w:numPr>
        <w:rPr>
          <w:lang w:val="es-MX"/>
        </w:rPr>
      </w:pPr>
      <w:r w:rsidRPr="009311C7">
        <w:rPr>
          <w:b/>
          <w:bCs/>
          <w:lang w:val="es-MX"/>
        </w:rPr>
        <w:t>Indicadores tradicionales y sus limitaciones:</w:t>
      </w:r>
    </w:p>
    <w:p w14:paraId="2A457F80" w14:textId="77777777" w:rsidR="009311C7" w:rsidRPr="009311C7" w:rsidRDefault="009311C7" w:rsidP="009311C7">
      <w:pPr>
        <w:numPr>
          <w:ilvl w:val="1"/>
          <w:numId w:val="1"/>
        </w:numPr>
        <w:rPr>
          <w:lang w:val="es-MX"/>
        </w:rPr>
      </w:pPr>
      <w:r w:rsidRPr="009311C7">
        <w:rPr>
          <w:lang w:val="es-MX"/>
        </w:rPr>
        <w:t xml:space="preserve">El indicador más utilizado históricamente es el de </w:t>
      </w:r>
      <w:r w:rsidRPr="009311C7">
        <w:rPr>
          <w:b/>
          <w:bCs/>
          <w:lang w:val="es-MX"/>
        </w:rPr>
        <w:t>10% de gasto energético</w:t>
      </w:r>
      <w:r w:rsidRPr="009311C7">
        <w:rPr>
          <w:lang w:val="es-MX"/>
        </w:rPr>
        <w:t xml:space="preserve"> (Boardman, 1991), donde un hogar es considerado pobre energético si gasta más del 10% de sus ingresos en energía.</w:t>
      </w:r>
    </w:p>
    <w:p w14:paraId="47392439" w14:textId="77777777" w:rsidR="009311C7" w:rsidRPr="009311C7" w:rsidRDefault="009311C7" w:rsidP="009311C7">
      <w:pPr>
        <w:numPr>
          <w:ilvl w:val="1"/>
          <w:numId w:val="1"/>
        </w:numPr>
        <w:rPr>
          <w:lang w:val="es-MX"/>
        </w:rPr>
      </w:pPr>
      <w:r w:rsidRPr="009311C7">
        <w:rPr>
          <w:lang w:val="es-MX"/>
        </w:rPr>
        <w:t>Otros enfoques incluyen el acceso a fuentes modernas (Nussbaumer et al., 2011) o metodologías que incorporan privaciones subjetivas y condiciones de la vivienda.</w:t>
      </w:r>
    </w:p>
    <w:p w14:paraId="762F668F" w14:textId="77777777" w:rsidR="009311C7" w:rsidRPr="009311C7" w:rsidRDefault="009311C7" w:rsidP="009311C7">
      <w:pPr>
        <w:numPr>
          <w:ilvl w:val="0"/>
          <w:numId w:val="1"/>
        </w:numPr>
      </w:pPr>
      <w:r w:rsidRPr="009311C7">
        <w:rPr>
          <w:b/>
          <w:bCs/>
        </w:rPr>
        <w:t>Objetivo del capítulo:</w:t>
      </w:r>
    </w:p>
    <w:p w14:paraId="137E8393" w14:textId="77777777" w:rsidR="009311C7" w:rsidRPr="009311C7" w:rsidRDefault="009311C7" w:rsidP="009311C7">
      <w:pPr>
        <w:numPr>
          <w:ilvl w:val="1"/>
          <w:numId w:val="1"/>
        </w:numPr>
        <w:rPr>
          <w:lang w:val="es-MX"/>
        </w:rPr>
      </w:pPr>
      <w:r w:rsidRPr="009311C7">
        <w:rPr>
          <w:lang w:val="es-MX"/>
        </w:rPr>
        <w:t xml:space="preserve">Aplicar diferentes indicadores de pobreza energética en el contexto argentino, mostrando las </w:t>
      </w:r>
      <w:r w:rsidRPr="009311C7">
        <w:rPr>
          <w:b/>
          <w:bCs/>
          <w:lang w:val="es-MX"/>
        </w:rPr>
        <w:t>disparidades en los resultados</w:t>
      </w:r>
      <w:r w:rsidRPr="009311C7">
        <w:rPr>
          <w:lang w:val="es-MX"/>
        </w:rPr>
        <w:t xml:space="preserve"> según el enfoque utilizado.</w:t>
      </w:r>
    </w:p>
    <w:p w14:paraId="778A492F" w14:textId="77777777" w:rsidR="009311C7" w:rsidRPr="009311C7" w:rsidRDefault="009311C7" w:rsidP="009311C7">
      <w:pPr>
        <w:numPr>
          <w:ilvl w:val="1"/>
          <w:numId w:val="1"/>
        </w:numPr>
        <w:rPr>
          <w:lang w:val="es-MX"/>
        </w:rPr>
      </w:pPr>
      <w:r w:rsidRPr="009311C7">
        <w:rPr>
          <w:lang w:val="es-MX"/>
        </w:rPr>
        <w:t>Reflexionar sobre las limitaciones del indicador de gasto energético declarado y la necesidad de enfoques más integrales.</w:t>
      </w:r>
    </w:p>
    <w:p w14:paraId="0F26856A" w14:textId="77777777" w:rsidR="009311C7" w:rsidRPr="009311C7" w:rsidRDefault="009311C7" w:rsidP="009311C7">
      <w:r w:rsidRPr="009311C7">
        <w:pict w14:anchorId="7A66E736">
          <v:rect id="_x0000_i1062" style="width:0;height:1.5pt" o:hralign="center" o:hrstd="t" o:hr="t" fillcolor="#a0a0a0" stroked="f"/>
        </w:pict>
      </w:r>
    </w:p>
    <w:p w14:paraId="53D8F85E" w14:textId="77777777" w:rsidR="009311C7" w:rsidRPr="009311C7" w:rsidRDefault="009311C7" w:rsidP="009311C7">
      <w:pPr>
        <w:rPr>
          <w:b/>
          <w:bCs/>
          <w:lang w:val="es-MX"/>
        </w:rPr>
      </w:pPr>
      <w:r w:rsidRPr="009311C7">
        <w:rPr>
          <w:b/>
          <w:bCs/>
          <w:lang w:val="es-MX"/>
        </w:rPr>
        <w:t>2. La pobreza energética: ¿un fenómeno multidimensional?</w:t>
      </w:r>
    </w:p>
    <w:p w14:paraId="45BD0537" w14:textId="77777777" w:rsidR="009311C7" w:rsidRPr="009311C7" w:rsidRDefault="009311C7" w:rsidP="009311C7">
      <w:pPr>
        <w:numPr>
          <w:ilvl w:val="0"/>
          <w:numId w:val="2"/>
        </w:numPr>
      </w:pPr>
      <w:r w:rsidRPr="009311C7">
        <w:rPr>
          <w:b/>
          <w:bCs/>
        </w:rPr>
        <w:t>Evolución del concepto:</w:t>
      </w:r>
    </w:p>
    <w:p w14:paraId="7F7DEB5D" w14:textId="77777777" w:rsidR="009311C7" w:rsidRPr="009311C7" w:rsidRDefault="009311C7" w:rsidP="009311C7">
      <w:pPr>
        <w:numPr>
          <w:ilvl w:val="1"/>
          <w:numId w:val="2"/>
        </w:numPr>
        <w:rPr>
          <w:lang w:val="es-MX"/>
        </w:rPr>
      </w:pPr>
      <w:r w:rsidRPr="009311C7">
        <w:rPr>
          <w:lang w:val="es-MX"/>
        </w:rPr>
        <w:t xml:space="preserve">Originalmente, la pobreza energética se definió desde un enfoque de </w:t>
      </w:r>
      <w:r w:rsidRPr="009311C7">
        <w:rPr>
          <w:b/>
          <w:bCs/>
          <w:lang w:val="es-MX"/>
        </w:rPr>
        <w:t>subsistencia</w:t>
      </w:r>
      <w:r w:rsidRPr="009311C7">
        <w:rPr>
          <w:lang w:val="es-MX"/>
        </w:rPr>
        <w:t>, centrándose en el acceso a temperaturas confortables y el porcentaje de ingreso destinado a combustible.</w:t>
      </w:r>
    </w:p>
    <w:p w14:paraId="1CBB4D91" w14:textId="77777777" w:rsidR="009311C7" w:rsidRPr="009311C7" w:rsidRDefault="009311C7" w:rsidP="009311C7">
      <w:pPr>
        <w:numPr>
          <w:ilvl w:val="1"/>
          <w:numId w:val="2"/>
        </w:numPr>
        <w:rPr>
          <w:lang w:val="es-MX"/>
        </w:rPr>
      </w:pPr>
      <w:r w:rsidRPr="009311C7">
        <w:rPr>
          <w:lang w:val="es-MX"/>
        </w:rPr>
        <w:lastRenderedPageBreak/>
        <w:t>Críticas a este enfoque incluyen la dificultad de obtener datos precisos sobre temperaturas interiores y tiempo de ocupación de las viviendas.</w:t>
      </w:r>
    </w:p>
    <w:p w14:paraId="589B740A" w14:textId="77777777" w:rsidR="009311C7" w:rsidRPr="009311C7" w:rsidRDefault="009311C7" w:rsidP="009311C7">
      <w:pPr>
        <w:numPr>
          <w:ilvl w:val="0"/>
          <w:numId w:val="2"/>
        </w:numPr>
      </w:pPr>
      <w:r w:rsidRPr="009311C7">
        <w:rPr>
          <w:b/>
          <w:bCs/>
        </w:rPr>
        <w:t>Definiciones más amplias:</w:t>
      </w:r>
    </w:p>
    <w:p w14:paraId="5EBF7E98" w14:textId="77777777" w:rsidR="009311C7" w:rsidRPr="009311C7" w:rsidRDefault="009311C7" w:rsidP="009311C7">
      <w:pPr>
        <w:numPr>
          <w:ilvl w:val="1"/>
          <w:numId w:val="2"/>
        </w:numPr>
        <w:rPr>
          <w:lang w:val="es-MX"/>
        </w:rPr>
      </w:pPr>
      <w:r w:rsidRPr="009311C7">
        <w:rPr>
          <w:lang w:val="es-MX"/>
        </w:rPr>
        <w:t xml:space="preserve">Perspectivas más recientes consideran la </w:t>
      </w:r>
      <w:r w:rsidRPr="009311C7">
        <w:rPr>
          <w:b/>
          <w:bCs/>
          <w:lang w:val="es-MX"/>
        </w:rPr>
        <w:t>falta de acceso a fuentes modernas y limpias de energía</w:t>
      </w:r>
      <w:r w:rsidRPr="009311C7">
        <w:rPr>
          <w:lang w:val="es-MX"/>
        </w:rPr>
        <w:t xml:space="preserve"> como un factor clave.</w:t>
      </w:r>
    </w:p>
    <w:p w14:paraId="73687AB0" w14:textId="77777777" w:rsidR="009311C7" w:rsidRPr="009311C7" w:rsidRDefault="009311C7" w:rsidP="009311C7">
      <w:pPr>
        <w:numPr>
          <w:ilvl w:val="1"/>
          <w:numId w:val="2"/>
        </w:numPr>
        <w:rPr>
          <w:lang w:val="es-MX"/>
        </w:rPr>
      </w:pPr>
      <w:r w:rsidRPr="009311C7">
        <w:rPr>
          <w:lang w:val="es-MX"/>
        </w:rPr>
        <w:t xml:space="preserve">La pobreza energética se entiende como una interacción entre: </w:t>
      </w:r>
    </w:p>
    <w:p w14:paraId="0A379A3E" w14:textId="77777777" w:rsidR="009311C7" w:rsidRPr="009311C7" w:rsidRDefault="009311C7" w:rsidP="009311C7">
      <w:pPr>
        <w:numPr>
          <w:ilvl w:val="2"/>
          <w:numId w:val="2"/>
        </w:numPr>
      </w:pPr>
      <w:r w:rsidRPr="009311C7">
        <w:rPr>
          <w:b/>
          <w:bCs/>
        </w:rPr>
        <w:t>Precios de la energía.</w:t>
      </w:r>
    </w:p>
    <w:p w14:paraId="1224EA02" w14:textId="77777777" w:rsidR="009311C7" w:rsidRPr="009311C7" w:rsidRDefault="009311C7" w:rsidP="009311C7">
      <w:pPr>
        <w:numPr>
          <w:ilvl w:val="2"/>
          <w:numId w:val="2"/>
        </w:numPr>
        <w:rPr>
          <w:lang w:val="es-MX"/>
        </w:rPr>
      </w:pPr>
      <w:r w:rsidRPr="009311C7">
        <w:rPr>
          <w:b/>
          <w:bCs/>
          <w:lang w:val="es-MX"/>
        </w:rPr>
        <w:t>Eficiencia energética de las viviendas</w:t>
      </w:r>
      <w:r w:rsidRPr="009311C7">
        <w:rPr>
          <w:lang w:val="es-MX"/>
        </w:rPr>
        <w:t xml:space="preserve"> (infraestructura y equipos).</w:t>
      </w:r>
    </w:p>
    <w:p w14:paraId="2D320C05" w14:textId="77777777" w:rsidR="009311C7" w:rsidRPr="009311C7" w:rsidRDefault="009311C7" w:rsidP="009311C7">
      <w:pPr>
        <w:numPr>
          <w:ilvl w:val="2"/>
          <w:numId w:val="2"/>
        </w:numPr>
      </w:pPr>
      <w:r w:rsidRPr="009311C7">
        <w:rPr>
          <w:b/>
          <w:bCs/>
        </w:rPr>
        <w:t>Ingresos de los hogares.</w:t>
      </w:r>
    </w:p>
    <w:p w14:paraId="7403E59E" w14:textId="77777777" w:rsidR="009311C7" w:rsidRPr="009311C7" w:rsidRDefault="009311C7" w:rsidP="009311C7">
      <w:pPr>
        <w:numPr>
          <w:ilvl w:val="0"/>
          <w:numId w:val="2"/>
        </w:numPr>
      </w:pPr>
      <w:r w:rsidRPr="009311C7">
        <w:rPr>
          <w:b/>
          <w:bCs/>
        </w:rPr>
        <w:t>Multidimensionalidad:</w:t>
      </w:r>
    </w:p>
    <w:p w14:paraId="548CDB61" w14:textId="77777777" w:rsidR="009311C7" w:rsidRPr="009311C7" w:rsidRDefault="009311C7" w:rsidP="009311C7">
      <w:pPr>
        <w:numPr>
          <w:ilvl w:val="1"/>
          <w:numId w:val="2"/>
        </w:numPr>
        <w:rPr>
          <w:lang w:val="es-MX"/>
        </w:rPr>
      </w:pPr>
      <w:r w:rsidRPr="009311C7">
        <w:rPr>
          <w:lang w:val="es-MX"/>
        </w:rPr>
        <w:t xml:space="preserve">Indicadores modernos, como los propuestos por el Observatorio Europeo de Pobreza Energética (EPOV), incorporan elementos como: </w:t>
      </w:r>
    </w:p>
    <w:p w14:paraId="3AC8F12E" w14:textId="77777777" w:rsidR="009311C7" w:rsidRPr="009311C7" w:rsidRDefault="009311C7" w:rsidP="009311C7">
      <w:pPr>
        <w:numPr>
          <w:ilvl w:val="2"/>
          <w:numId w:val="2"/>
        </w:numPr>
        <w:rPr>
          <w:lang w:val="es-MX"/>
        </w:rPr>
      </w:pPr>
      <w:r w:rsidRPr="009311C7">
        <w:rPr>
          <w:lang w:val="es-MX"/>
        </w:rPr>
        <w:t>Niveles inadecuados de servicios energéticos.</w:t>
      </w:r>
    </w:p>
    <w:p w14:paraId="49D93C7D" w14:textId="77777777" w:rsidR="009311C7" w:rsidRPr="009311C7" w:rsidRDefault="009311C7" w:rsidP="009311C7">
      <w:pPr>
        <w:numPr>
          <w:ilvl w:val="2"/>
          <w:numId w:val="2"/>
        </w:numPr>
        <w:rPr>
          <w:lang w:val="es-MX"/>
        </w:rPr>
      </w:pPr>
      <w:r w:rsidRPr="009311C7">
        <w:rPr>
          <w:lang w:val="es-MX"/>
        </w:rPr>
        <w:t>Ineficiencia de las viviendas y electrodomésticos.</w:t>
      </w:r>
    </w:p>
    <w:p w14:paraId="2DF26BE4" w14:textId="77777777" w:rsidR="009311C7" w:rsidRPr="009311C7" w:rsidRDefault="009311C7" w:rsidP="009311C7">
      <w:pPr>
        <w:numPr>
          <w:ilvl w:val="2"/>
          <w:numId w:val="2"/>
        </w:numPr>
        <w:rPr>
          <w:lang w:val="es-MX"/>
        </w:rPr>
      </w:pPr>
      <w:r w:rsidRPr="009311C7">
        <w:rPr>
          <w:lang w:val="es-MX"/>
        </w:rPr>
        <w:t>Necesidades energéticas específicas de los hogares.</w:t>
      </w:r>
    </w:p>
    <w:p w14:paraId="4821D38F" w14:textId="77777777" w:rsidR="009311C7" w:rsidRPr="009311C7" w:rsidRDefault="009311C7" w:rsidP="009311C7">
      <w:pPr>
        <w:numPr>
          <w:ilvl w:val="1"/>
          <w:numId w:val="2"/>
        </w:numPr>
        <w:rPr>
          <w:lang w:val="es-MX"/>
        </w:rPr>
      </w:pPr>
      <w:r w:rsidRPr="009311C7">
        <w:rPr>
          <w:lang w:val="es-MX"/>
        </w:rPr>
        <w:t xml:space="preserve">Otros enfoques, como el </w:t>
      </w:r>
      <w:r w:rsidRPr="009311C7">
        <w:rPr>
          <w:b/>
          <w:bCs/>
          <w:lang w:val="es-MX"/>
        </w:rPr>
        <w:t>Índice Multidimensional de Pobreza Energética (MEPI)</w:t>
      </w:r>
      <w:r w:rsidRPr="009311C7">
        <w:rPr>
          <w:lang w:val="es-MX"/>
        </w:rPr>
        <w:t>, analizan dimensiones como cocción, iluminación, refrigeración, educación, telecomunicaciones y entretenimiento.</w:t>
      </w:r>
    </w:p>
    <w:p w14:paraId="54BDE499" w14:textId="77777777" w:rsidR="009311C7" w:rsidRPr="009311C7" w:rsidRDefault="009311C7" w:rsidP="009311C7">
      <w:r w:rsidRPr="009311C7">
        <w:pict w14:anchorId="58C0F0D6">
          <v:rect id="_x0000_i1063" style="width:0;height:1.5pt" o:hralign="center" o:hrstd="t" o:hr="t" fillcolor="#a0a0a0" stroked="f"/>
        </w:pict>
      </w:r>
    </w:p>
    <w:p w14:paraId="13F79EA5" w14:textId="77777777" w:rsidR="009311C7" w:rsidRPr="009311C7" w:rsidRDefault="009311C7" w:rsidP="009311C7">
      <w:pPr>
        <w:rPr>
          <w:b/>
          <w:bCs/>
        </w:rPr>
      </w:pPr>
      <w:r w:rsidRPr="009311C7">
        <w:rPr>
          <w:b/>
          <w:bCs/>
        </w:rPr>
        <w:t>3. Medición de la pobreza energética</w:t>
      </w:r>
    </w:p>
    <w:p w14:paraId="1D8DEA59" w14:textId="77777777" w:rsidR="009311C7" w:rsidRPr="009311C7" w:rsidRDefault="009311C7" w:rsidP="009311C7">
      <w:pPr>
        <w:numPr>
          <w:ilvl w:val="0"/>
          <w:numId w:val="3"/>
        </w:numPr>
      </w:pPr>
      <w:r w:rsidRPr="009311C7">
        <w:rPr>
          <w:b/>
          <w:bCs/>
        </w:rPr>
        <w:t>Predominio de indicadores unidimensionales:</w:t>
      </w:r>
    </w:p>
    <w:p w14:paraId="686419F8" w14:textId="77777777" w:rsidR="009311C7" w:rsidRPr="009311C7" w:rsidRDefault="009311C7" w:rsidP="009311C7">
      <w:pPr>
        <w:numPr>
          <w:ilvl w:val="1"/>
          <w:numId w:val="3"/>
        </w:numPr>
        <w:rPr>
          <w:lang w:val="es-MX"/>
        </w:rPr>
      </w:pPr>
      <w:r w:rsidRPr="009311C7">
        <w:rPr>
          <w:lang w:val="es-MX"/>
        </w:rPr>
        <w:t>La falta de datos detallados sobre aspectos como eficiencia energética, condiciones de las viviendas y acceso a equipos limita la adopción de enfoques multidimensionales, especialmente en países en desarrollo.</w:t>
      </w:r>
    </w:p>
    <w:p w14:paraId="63451D6D" w14:textId="77777777" w:rsidR="009311C7" w:rsidRPr="009311C7" w:rsidRDefault="009311C7" w:rsidP="009311C7">
      <w:pPr>
        <w:numPr>
          <w:ilvl w:val="0"/>
          <w:numId w:val="3"/>
        </w:numPr>
      </w:pPr>
      <w:r w:rsidRPr="009311C7">
        <w:rPr>
          <w:b/>
          <w:bCs/>
        </w:rPr>
        <w:t>Indicadores más utilizados:</w:t>
      </w:r>
    </w:p>
    <w:p w14:paraId="6D86D2BC" w14:textId="77777777" w:rsidR="009311C7" w:rsidRPr="009311C7" w:rsidRDefault="009311C7" w:rsidP="009311C7">
      <w:pPr>
        <w:numPr>
          <w:ilvl w:val="1"/>
          <w:numId w:val="3"/>
        </w:numPr>
        <w:rPr>
          <w:lang w:val="es-MX"/>
        </w:rPr>
      </w:pPr>
      <w:r w:rsidRPr="009311C7">
        <w:rPr>
          <w:b/>
          <w:bCs/>
          <w:lang w:val="es-MX"/>
        </w:rPr>
        <w:t>10% de gasto energético:</w:t>
      </w:r>
      <w:r w:rsidRPr="009311C7">
        <w:rPr>
          <w:lang w:val="es-MX"/>
        </w:rPr>
        <w:t xml:space="preserve"> Clasifica a los hogares como pobres energéticos si gastan más del 10% de sus ingresos en servicios energéticos.</w:t>
      </w:r>
    </w:p>
    <w:p w14:paraId="684F64F7" w14:textId="77777777" w:rsidR="009311C7" w:rsidRPr="009311C7" w:rsidRDefault="009311C7" w:rsidP="009311C7">
      <w:pPr>
        <w:numPr>
          <w:ilvl w:val="1"/>
          <w:numId w:val="3"/>
        </w:numPr>
        <w:rPr>
          <w:lang w:val="es-MX"/>
        </w:rPr>
      </w:pPr>
      <w:r w:rsidRPr="009311C7">
        <w:rPr>
          <w:b/>
          <w:bCs/>
          <w:lang w:val="es-MX"/>
        </w:rPr>
        <w:t>2M y M/2:</w:t>
      </w:r>
      <w:r w:rsidRPr="009311C7">
        <w:rPr>
          <w:lang w:val="es-MX"/>
        </w:rPr>
        <w:t xml:space="preserve"> Indicadores propuestos por el EPOV que evalúan hogares con proporciones de gasto energético superiores al doble de la mediana nacional (2M) o inferiores a la mitad de la mediana (M/2).</w:t>
      </w:r>
    </w:p>
    <w:p w14:paraId="48E13C82" w14:textId="77777777" w:rsidR="009311C7" w:rsidRPr="009311C7" w:rsidRDefault="009311C7" w:rsidP="009311C7">
      <w:pPr>
        <w:numPr>
          <w:ilvl w:val="0"/>
          <w:numId w:val="3"/>
        </w:numPr>
      </w:pPr>
      <w:r w:rsidRPr="009311C7">
        <w:rPr>
          <w:b/>
          <w:bCs/>
        </w:rPr>
        <w:t>Críticas al indicador del 10%:</w:t>
      </w:r>
    </w:p>
    <w:p w14:paraId="03DB2CD5" w14:textId="77777777" w:rsidR="009311C7" w:rsidRPr="009311C7" w:rsidRDefault="009311C7" w:rsidP="009311C7">
      <w:pPr>
        <w:numPr>
          <w:ilvl w:val="1"/>
          <w:numId w:val="3"/>
        </w:numPr>
        <w:rPr>
          <w:lang w:val="es-MX"/>
        </w:rPr>
      </w:pPr>
      <w:r w:rsidRPr="009311C7">
        <w:rPr>
          <w:lang w:val="es-MX"/>
        </w:rPr>
        <w:t>Subestima el problema en países donde los servicios energéticos están subsidiados, como Argentina.</w:t>
      </w:r>
    </w:p>
    <w:p w14:paraId="0A53A68C" w14:textId="77777777" w:rsidR="009311C7" w:rsidRPr="009311C7" w:rsidRDefault="009311C7" w:rsidP="009311C7">
      <w:pPr>
        <w:numPr>
          <w:ilvl w:val="1"/>
          <w:numId w:val="3"/>
        </w:numPr>
        <w:rPr>
          <w:lang w:val="es-MX"/>
        </w:rPr>
      </w:pPr>
      <w:r w:rsidRPr="009311C7">
        <w:rPr>
          <w:lang w:val="es-MX"/>
        </w:rPr>
        <w:lastRenderedPageBreak/>
        <w:t xml:space="preserve">Problemas en la recolección de datos: </w:t>
      </w:r>
    </w:p>
    <w:p w14:paraId="4629010E" w14:textId="77777777" w:rsidR="009311C7" w:rsidRPr="009311C7" w:rsidRDefault="009311C7" w:rsidP="009311C7">
      <w:pPr>
        <w:numPr>
          <w:ilvl w:val="2"/>
          <w:numId w:val="3"/>
        </w:numPr>
        <w:rPr>
          <w:lang w:val="es-MX"/>
        </w:rPr>
      </w:pPr>
      <w:r w:rsidRPr="009311C7">
        <w:rPr>
          <w:lang w:val="es-MX"/>
        </w:rPr>
        <w:t>Declaraciones inexactas de gastos e ingresos.</w:t>
      </w:r>
    </w:p>
    <w:p w14:paraId="2E1A58C5" w14:textId="77777777" w:rsidR="009311C7" w:rsidRPr="009311C7" w:rsidRDefault="009311C7" w:rsidP="009311C7">
      <w:pPr>
        <w:numPr>
          <w:ilvl w:val="2"/>
          <w:numId w:val="3"/>
        </w:numPr>
        <w:rPr>
          <w:lang w:val="es-MX"/>
        </w:rPr>
      </w:pPr>
      <w:r w:rsidRPr="009311C7">
        <w:rPr>
          <w:lang w:val="es-MX"/>
        </w:rPr>
        <w:t>Dificultad para medir gastos en combustibles tradicionales (e.g., leña, carbón).</w:t>
      </w:r>
    </w:p>
    <w:p w14:paraId="43CC3982" w14:textId="77777777" w:rsidR="009311C7" w:rsidRPr="009311C7" w:rsidRDefault="009311C7" w:rsidP="009311C7">
      <w:pPr>
        <w:numPr>
          <w:ilvl w:val="0"/>
          <w:numId w:val="3"/>
        </w:numPr>
      </w:pPr>
      <w:r w:rsidRPr="009311C7">
        <w:rPr>
          <w:b/>
          <w:bCs/>
        </w:rPr>
        <w:t>Enfoques alternativos:</w:t>
      </w:r>
    </w:p>
    <w:p w14:paraId="0CC7160F" w14:textId="77777777" w:rsidR="009311C7" w:rsidRPr="009311C7" w:rsidRDefault="009311C7" w:rsidP="009311C7">
      <w:pPr>
        <w:numPr>
          <w:ilvl w:val="1"/>
          <w:numId w:val="3"/>
        </w:numPr>
        <w:rPr>
          <w:lang w:val="es-MX"/>
        </w:rPr>
      </w:pPr>
      <w:r w:rsidRPr="009311C7">
        <w:rPr>
          <w:lang w:val="es-MX"/>
        </w:rPr>
        <w:t xml:space="preserve">Indicadores como el </w:t>
      </w:r>
      <w:r w:rsidRPr="009311C7">
        <w:rPr>
          <w:b/>
          <w:bCs/>
          <w:lang w:val="es-MX"/>
        </w:rPr>
        <w:t>NAEs</w:t>
      </w:r>
      <w:r w:rsidRPr="009311C7">
        <w:rPr>
          <w:lang w:val="es-MX"/>
        </w:rPr>
        <w:t xml:space="preserve"> (Satisfacción de Necesidades Energéticas Absolutas) evalúan el acceso a equipos esenciales para servicios como cocción, iluminación y refrigeración.</w:t>
      </w:r>
    </w:p>
    <w:p w14:paraId="4CA5EB28" w14:textId="77777777" w:rsidR="009311C7" w:rsidRPr="009311C7" w:rsidRDefault="009311C7" w:rsidP="009311C7">
      <w:pPr>
        <w:numPr>
          <w:ilvl w:val="1"/>
          <w:numId w:val="3"/>
        </w:numPr>
        <w:rPr>
          <w:lang w:val="es-MX"/>
        </w:rPr>
      </w:pPr>
      <w:r w:rsidRPr="009311C7">
        <w:rPr>
          <w:lang w:val="es-MX"/>
        </w:rPr>
        <w:t>Modelos como el MEPI asignan ponderaciones a diferentes dimensiones del acceso y calidad de los servicios energéticos.</w:t>
      </w:r>
    </w:p>
    <w:p w14:paraId="143B2FBB" w14:textId="77777777" w:rsidR="009311C7" w:rsidRPr="009311C7" w:rsidRDefault="009311C7" w:rsidP="009311C7">
      <w:r w:rsidRPr="009311C7">
        <w:pict w14:anchorId="7CE42312">
          <v:rect id="_x0000_i1064" style="width:0;height:1.5pt" o:hralign="center" o:hrstd="t" o:hr="t" fillcolor="#a0a0a0" stroked="f"/>
        </w:pict>
      </w:r>
    </w:p>
    <w:p w14:paraId="3DA2D660" w14:textId="77777777" w:rsidR="009311C7" w:rsidRPr="009311C7" w:rsidRDefault="009311C7" w:rsidP="009311C7">
      <w:pPr>
        <w:rPr>
          <w:b/>
          <w:bCs/>
          <w:lang w:val="es-MX"/>
        </w:rPr>
      </w:pPr>
      <w:r w:rsidRPr="009311C7">
        <w:rPr>
          <w:b/>
          <w:bCs/>
          <w:lang w:val="es-MX"/>
        </w:rPr>
        <w:t>4. Aplicación en el contexto argentino: caso de la provincia de Buenos Aires</w:t>
      </w:r>
    </w:p>
    <w:p w14:paraId="2B06F89E" w14:textId="77777777" w:rsidR="009311C7" w:rsidRPr="009311C7" w:rsidRDefault="009311C7" w:rsidP="009311C7">
      <w:pPr>
        <w:numPr>
          <w:ilvl w:val="0"/>
          <w:numId w:val="4"/>
        </w:numPr>
      </w:pPr>
      <w:r w:rsidRPr="009311C7">
        <w:rPr>
          <w:b/>
          <w:bCs/>
        </w:rPr>
        <w:t>Datos utilizados:</w:t>
      </w:r>
    </w:p>
    <w:p w14:paraId="457C93C6" w14:textId="77777777" w:rsidR="009311C7" w:rsidRPr="009311C7" w:rsidRDefault="009311C7" w:rsidP="009311C7">
      <w:pPr>
        <w:numPr>
          <w:ilvl w:val="1"/>
          <w:numId w:val="4"/>
        </w:numPr>
        <w:rPr>
          <w:lang w:val="es-MX"/>
        </w:rPr>
      </w:pPr>
      <w:r w:rsidRPr="009311C7">
        <w:rPr>
          <w:lang w:val="es-MX"/>
        </w:rPr>
        <w:t>Encuesta Nacional de Gasto de los Hogares (ENGHo) 2017-2018, que incluye un módulo especial de energía para analizar equipos, uso, antigüedad y eficiencia.</w:t>
      </w:r>
    </w:p>
    <w:p w14:paraId="573DEC9E" w14:textId="77777777" w:rsidR="009311C7" w:rsidRPr="009311C7" w:rsidRDefault="009311C7" w:rsidP="009311C7">
      <w:pPr>
        <w:numPr>
          <w:ilvl w:val="0"/>
          <w:numId w:val="4"/>
        </w:numPr>
      </w:pPr>
      <w:r w:rsidRPr="009311C7">
        <w:rPr>
          <w:b/>
          <w:bCs/>
        </w:rPr>
        <w:t>Resultados del análisis:</w:t>
      </w:r>
    </w:p>
    <w:p w14:paraId="7DAB537E" w14:textId="77777777" w:rsidR="009311C7" w:rsidRPr="009311C7" w:rsidRDefault="009311C7" w:rsidP="009311C7">
      <w:pPr>
        <w:numPr>
          <w:ilvl w:val="1"/>
          <w:numId w:val="4"/>
        </w:numPr>
        <w:rPr>
          <w:lang w:val="es-MX"/>
        </w:rPr>
      </w:pPr>
      <w:r w:rsidRPr="009311C7">
        <w:rPr>
          <w:lang w:val="es-MX"/>
        </w:rPr>
        <w:t xml:space="preserve">Usando el indicador del 10% con datos declarados, se encontró que </w:t>
      </w:r>
      <w:r w:rsidRPr="009311C7">
        <w:rPr>
          <w:b/>
          <w:bCs/>
          <w:lang w:val="es-MX"/>
        </w:rPr>
        <w:t>23.5% de los hogares</w:t>
      </w:r>
      <w:r w:rsidRPr="009311C7">
        <w:rPr>
          <w:lang w:val="es-MX"/>
        </w:rPr>
        <w:t xml:space="preserve"> en la muestra eran pobres energéticos.</w:t>
      </w:r>
    </w:p>
    <w:p w14:paraId="30AF10C5" w14:textId="77777777" w:rsidR="009311C7" w:rsidRPr="009311C7" w:rsidRDefault="009311C7" w:rsidP="009311C7">
      <w:pPr>
        <w:numPr>
          <w:ilvl w:val="1"/>
          <w:numId w:val="4"/>
        </w:numPr>
        <w:rPr>
          <w:lang w:val="es-MX"/>
        </w:rPr>
      </w:pPr>
      <w:r w:rsidRPr="009311C7">
        <w:rPr>
          <w:lang w:val="es-MX"/>
        </w:rPr>
        <w:t xml:space="preserve">Este porcentaje aumentó al </w:t>
      </w:r>
      <w:r w:rsidRPr="009311C7">
        <w:rPr>
          <w:b/>
          <w:bCs/>
          <w:lang w:val="es-MX"/>
        </w:rPr>
        <w:t>28.3%</w:t>
      </w:r>
      <w:r w:rsidRPr="009311C7">
        <w:rPr>
          <w:lang w:val="es-MX"/>
        </w:rPr>
        <w:t xml:space="preserve"> cuando se usó un modelo estimado de consumo energético, mostrando que los datos declarados pueden subestimar el problema.</w:t>
      </w:r>
    </w:p>
    <w:p w14:paraId="4723231E" w14:textId="77777777" w:rsidR="009311C7" w:rsidRPr="009311C7" w:rsidRDefault="009311C7" w:rsidP="009311C7">
      <w:pPr>
        <w:numPr>
          <w:ilvl w:val="1"/>
          <w:numId w:val="4"/>
        </w:numPr>
        <w:rPr>
          <w:lang w:val="es-MX"/>
        </w:rPr>
      </w:pPr>
      <w:r w:rsidRPr="009311C7">
        <w:rPr>
          <w:lang w:val="es-MX"/>
        </w:rPr>
        <w:t>El indicador 2M mostró que un tercio de los hogares experimentan pobreza energética, cifra que también aumentó al usar datos modelados.</w:t>
      </w:r>
    </w:p>
    <w:p w14:paraId="2A070FAA" w14:textId="77777777" w:rsidR="009311C7" w:rsidRPr="009311C7" w:rsidRDefault="009311C7" w:rsidP="009311C7">
      <w:pPr>
        <w:numPr>
          <w:ilvl w:val="0"/>
          <w:numId w:val="4"/>
        </w:numPr>
      </w:pPr>
      <w:r w:rsidRPr="009311C7">
        <w:rPr>
          <w:b/>
          <w:bCs/>
        </w:rPr>
        <w:t>Hallazgos clave:</w:t>
      </w:r>
    </w:p>
    <w:p w14:paraId="6BF0B775" w14:textId="77777777" w:rsidR="009311C7" w:rsidRPr="009311C7" w:rsidRDefault="009311C7" w:rsidP="009311C7">
      <w:pPr>
        <w:numPr>
          <w:ilvl w:val="1"/>
          <w:numId w:val="4"/>
        </w:numPr>
        <w:rPr>
          <w:lang w:val="es-MX"/>
        </w:rPr>
      </w:pPr>
      <w:r w:rsidRPr="009311C7">
        <w:rPr>
          <w:lang w:val="es-MX"/>
        </w:rPr>
        <w:t>Los hogares encabezados por mujeres y aquellos con más de 5 miembros tienen mayor probabilidad de estar en pobreza energética.</w:t>
      </w:r>
    </w:p>
    <w:p w14:paraId="0CBB0762" w14:textId="77777777" w:rsidR="009311C7" w:rsidRPr="009311C7" w:rsidRDefault="009311C7" w:rsidP="009311C7">
      <w:pPr>
        <w:numPr>
          <w:ilvl w:val="1"/>
          <w:numId w:val="4"/>
        </w:numPr>
        <w:rPr>
          <w:lang w:val="es-MX"/>
        </w:rPr>
      </w:pPr>
      <w:r w:rsidRPr="009311C7">
        <w:rPr>
          <w:lang w:val="es-MX"/>
        </w:rPr>
        <w:t>Otros factores asociados incluyen bajos niveles educativos y falta de cobertura de salud.</w:t>
      </w:r>
    </w:p>
    <w:p w14:paraId="7E16E216" w14:textId="77777777" w:rsidR="009311C7" w:rsidRPr="009311C7" w:rsidRDefault="009311C7" w:rsidP="009311C7">
      <w:pPr>
        <w:numPr>
          <w:ilvl w:val="0"/>
          <w:numId w:val="4"/>
        </w:numPr>
      </w:pPr>
      <w:r w:rsidRPr="009311C7">
        <w:rPr>
          <w:b/>
          <w:bCs/>
        </w:rPr>
        <w:t>Impacto de los subsidios:</w:t>
      </w:r>
    </w:p>
    <w:p w14:paraId="4EEC5BA1" w14:textId="77777777" w:rsidR="009311C7" w:rsidRPr="009311C7" w:rsidRDefault="009311C7" w:rsidP="009311C7">
      <w:pPr>
        <w:numPr>
          <w:ilvl w:val="1"/>
          <w:numId w:val="4"/>
        </w:numPr>
        <w:rPr>
          <w:lang w:val="es-MX"/>
        </w:rPr>
      </w:pPr>
      <w:r w:rsidRPr="009311C7">
        <w:rPr>
          <w:lang w:val="es-MX"/>
        </w:rPr>
        <w:t xml:space="preserve">En Argentina, los hogares pagan solo el </w:t>
      </w:r>
      <w:r w:rsidRPr="009311C7">
        <w:rPr>
          <w:b/>
          <w:bCs/>
          <w:lang w:val="es-MX"/>
        </w:rPr>
        <w:t>38% del costo real de la electricidad</w:t>
      </w:r>
      <w:r w:rsidRPr="009311C7">
        <w:rPr>
          <w:lang w:val="es-MX"/>
        </w:rPr>
        <w:t xml:space="preserve"> y el </w:t>
      </w:r>
      <w:r w:rsidRPr="009311C7">
        <w:rPr>
          <w:b/>
          <w:bCs/>
          <w:lang w:val="es-MX"/>
        </w:rPr>
        <w:t>45% del costo del gas natural</w:t>
      </w:r>
      <w:r w:rsidRPr="009311C7">
        <w:rPr>
          <w:lang w:val="es-MX"/>
        </w:rPr>
        <w:t xml:space="preserve"> gracias a subsidios estatales.</w:t>
      </w:r>
    </w:p>
    <w:p w14:paraId="5C841038" w14:textId="77777777" w:rsidR="009311C7" w:rsidRPr="009311C7" w:rsidRDefault="009311C7" w:rsidP="009311C7">
      <w:pPr>
        <w:numPr>
          <w:ilvl w:val="1"/>
          <w:numId w:val="4"/>
        </w:numPr>
        <w:rPr>
          <w:lang w:val="es-MX"/>
        </w:rPr>
      </w:pPr>
      <w:r w:rsidRPr="009311C7">
        <w:rPr>
          <w:lang w:val="es-MX"/>
        </w:rPr>
        <w:t>Esto reduce el gasto energético declarado, haciendo que el umbral del 10% no sea representativo de la realidad local.</w:t>
      </w:r>
    </w:p>
    <w:p w14:paraId="516F214A" w14:textId="77777777" w:rsidR="009311C7" w:rsidRPr="009311C7" w:rsidRDefault="009311C7" w:rsidP="009311C7">
      <w:r w:rsidRPr="009311C7">
        <w:lastRenderedPageBreak/>
        <w:pict w14:anchorId="572267DE">
          <v:rect id="_x0000_i1065" style="width:0;height:1.5pt" o:hralign="center" o:hrstd="t" o:hr="t" fillcolor="#a0a0a0" stroked="f"/>
        </w:pict>
      </w:r>
    </w:p>
    <w:p w14:paraId="2F5CF1C5" w14:textId="77777777" w:rsidR="009311C7" w:rsidRPr="009311C7" w:rsidRDefault="009311C7" w:rsidP="009311C7">
      <w:pPr>
        <w:rPr>
          <w:b/>
          <w:bCs/>
        </w:rPr>
      </w:pPr>
      <w:r w:rsidRPr="009311C7">
        <w:rPr>
          <w:b/>
          <w:bCs/>
        </w:rPr>
        <w:t>5. Reflexiones finales</w:t>
      </w:r>
    </w:p>
    <w:p w14:paraId="1BB3DCE6" w14:textId="77777777" w:rsidR="009311C7" w:rsidRPr="009311C7" w:rsidRDefault="009311C7" w:rsidP="009311C7">
      <w:pPr>
        <w:numPr>
          <w:ilvl w:val="0"/>
          <w:numId w:val="5"/>
        </w:numPr>
        <w:rPr>
          <w:lang w:val="es-MX"/>
        </w:rPr>
      </w:pPr>
      <w:r w:rsidRPr="009311C7">
        <w:rPr>
          <w:b/>
          <w:bCs/>
          <w:lang w:val="es-MX"/>
        </w:rPr>
        <w:t>Necesidad de complementar indicadores unidimensionales:</w:t>
      </w:r>
    </w:p>
    <w:p w14:paraId="5E2E1E39" w14:textId="77777777" w:rsidR="009311C7" w:rsidRPr="009311C7" w:rsidRDefault="009311C7" w:rsidP="009311C7">
      <w:pPr>
        <w:numPr>
          <w:ilvl w:val="1"/>
          <w:numId w:val="5"/>
        </w:numPr>
        <w:rPr>
          <w:lang w:val="es-MX"/>
        </w:rPr>
      </w:pPr>
      <w:r w:rsidRPr="009311C7">
        <w:rPr>
          <w:lang w:val="es-MX"/>
        </w:rPr>
        <w:t>Reducir la medición de la pobreza energética a indicadores basados en gasto e ingreso simplifica un fenómeno complejo.</w:t>
      </w:r>
    </w:p>
    <w:p w14:paraId="2A4A532A" w14:textId="77777777" w:rsidR="009311C7" w:rsidRPr="009311C7" w:rsidRDefault="009311C7" w:rsidP="009311C7">
      <w:pPr>
        <w:numPr>
          <w:ilvl w:val="1"/>
          <w:numId w:val="5"/>
        </w:numPr>
        <w:rPr>
          <w:lang w:val="es-MX"/>
        </w:rPr>
      </w:pPr>
      <w:r w:rsidRPr="009311C7">
        <w:rPr>
          <w:lang w:val="es-MX"/>
        </w:rPr>
        <w:t xml:space="preserve">Es crucial incorporar elementos como: </w:t>
      </w:r>
    </w:p>
    <w:p w14:paraId="00653FAA" w14:textId="77777777" w:rsidR="009311C7" w:rsidRPr="009311C7" w:rsidRDefault="009311C7" w:rsidP="009311C7">
      <w:pPr>
        <w:numPr>
          <w:ilvl w:val="2"/>
          <w:numId w:val="5"/>
        </w:numPr>
      </w:pPr>
      <w:r w:rsidRPr="009311C7">
        <w:rPr>
          <w:b/>
          <w:bCs/>
        </w:rPr>
        <w:t>Condiciones de la vivienda.</w:t>
      </w:r>
    </w:p>
    <w:p w14:paraId="47480239" w14:textId="77777777" w:rsidR="009311C7" w:rsidRPr="009311C7" w:rsidRDefault="009311C7" w:rsidP="009311C7">
      <w:pPr>
        <w:numPr>
          <w:ilvl w:val="2"/>
          <w:numId w:val="5"/>
        </w:numPr>
      </w:pPr>
      <w:r w:rsidRPr="009311C7">
        <w:rPr>
          <w:b/>
          <w:bCs/>
        </w:rPr>
        <w:t>Eficiencia energética.</w:t>
      </w:r>
    </w:p>
    <w:p w14:paraId="308A17A8" w14:textId="77777777" w:rsidR="009311C7" w:rsidRPr="009311C7" w:rsidRDefault="009311C7" w:rsidP="009311C7">
      <w:pPr>
        <w:numPr>
          <w:ilvl w:val="2"/>
          <w:numId w:val="5"/>
        </w:numPr>
      </w:pPr>
      <w:r w:rsidRPr="009311C7">
        <w:rPr>
          <w:b/>
          <w:bCs/>
        </w:rPr>
        <w:t>Hábitos de los ocupantes.</w:t>
      </w:r>
    </w:p>
    <w:p w14:paraId="3CBA4CD1" w14:textId="77777777" w:rsidR="009311C7" w:rsidRPr="009311C7" w:rsidRDefault="009311C7" w:rsidP="009311C7">
      <w:pPr>
        <w:numPr>
          <w:ilvl w:val="2"/>
          <w:numId w:val="5"/>
        </w:numPr>
      </w:pPr>
      <w:r w:rsidRPr="009311C7">
        <w:rPr>
          <w:b/>
          <w:bCs/>
        </w:rPr>
        <w:t>Condiciones macroeconómicas.</w:t>
      </w:r>
    </w:p>
    <w:p w14:paraId="5221BE06" w14:textId="77777777" w:rsidR="009311C7" w:rsidRPr="009311C7" w:rsidRDefault="009311C7" w:rsidP="009311C7">
      <w:pPr>
        <w:numPr>
          <w:ilvl w:val="0"/>
          <w:numId w:val="5"/>
        </w:numPr>
      </w:pPr>
      <w:r w:rsidRPr="009311C7">
        <w:rPr>
          <w:b/>
          <w:bCs/>
        </w:rPr>
        <w:t>Umbrales contextuales:</w:t>
      </w:r>
    </w:p>
    <w:p w14:paraId="7383CCAF" w14:textId="77777777" w:rsidR="009311C7" w:rsidRPr="009311C7" w:rsidRDefault="009311C7" w:rsidP="009311C7">
      <w:pPr>
        <w:numPr>
          <w:ilvl w:val="1"/>
          <w:numId w:val="5"/>
        </w:numPr>
        <w:rPr>
          <w:lang w:val="es-MX"/>
        </w:rPr>
      </w:pPr>
      <w:r w:rsidRPr="009311C7">
        <w:rPr>
          <w:lang w:val="es-MX"/>
        </w:rPr>
        <w:t>Los subsidios energéticos en Argentina subrayan la necesidad de revisar y adaptar los umbrales utilizados para medir la pobreza energética a las realidades locales.</w:t>
      </w:r>
    </w:p>
    <w:p w14:paraId="225053FB" w14:textId="77777777" w:rsidR="009311C7" w:rsidRPr="009311C7" w:rsidRDefault="009311C7" w:rsidP="009311C7">
      <w:pPr>
        <w:numPr>
          <w:ilvl w:val="0"/>
          <w:numId w:val="5"/>
        </w:numPr>
      </w:pPr>
      <w:r w:rsidRPr="009311C7">
        <w:rPr>
          <w:b/>
          <w:bCs/>
        </w:rPr>
        <w:t>Políticas públicas:</w:t>
      </w:r>
    </w:p>
    <w:p w14:paraId="7EB28824" w14:textId="77777777" w:rsidR="009311C7" w:rsidRPr="009311C7" w:rsidRDefault="009311C7" w:rsidP="009311C7">
      <w:pPr>
        <w:numPr>
          <w:ilvl w:val="1"/>
          <w:numId w:val="5"/>
        </w:numPr>
        <w:rPr>
          <w:lang w:val="es-MX"/>
        </w:rPr>
      </w:pPr>
      <w:r w:rsidRPr="009311C7">
        <w:rPr>
          <w:lang w:val="es-MX"/>
        </w:rPr>
        <w:t>Entender cómo la pobreza energética interactúa con otras privaciones (educación, salud, vivienda) puede mejorar el diseño de políticas públicas.</w:t>
      </w:r>
    </w:p>
    <w:p w14:paraId="221DC39E" w14:textId="77777777" w:rsidR="009311C7" w:rsidRPr="009311C7" w:rsidRDefault="009311C7" w:rsidP="009311C7">
      <w:pPr>
        <w:numPr>
          <w:ilvl w:val="1"/>
          <w:numId w:val="5"/>
        </w:numPr>
        <w:rPr>
          <w:lang w:val="es-MX"/>
        </w:rPr>
      </w:pPr>
      <w:r w:rsidRPr="009311C7">
        <w:rPr>
          <w:lang w:val="es-MX"/>
        </w:rPr>
        <w:t>Las estrategias para reducir la pobreza energética deben incluir tanto políticas energéticas como económicas más amplias.</w:t>
      </w:r>
    </w:p>
    <w:p w14:paraId="6AE645A9" w14:textId="77777777" w:rsidR="009311C7" w:rsidRPr="009311C7" w:rsidRDefault="009311C7" w:rsidP="009311C7">
      <w:r w:rsidRPr="009311C7">
        <w:pict w14:anchorId="5DF79314">
          <v:rect id="_x0000_i1066" style="width:0;height:1.5pt" o:hralign="center" o:hrstd="t" o:hr="t" fillcolor="#a0a0a0" stroked="f"/>
        </w:pict>
      </w:r>
    </w:p>
    <w:p w14:paraId="1F0B4641" w14:textId="77777777" w:rsidR="009311C7" w:rsidRPr="009311C7" w:rsidRDefault="009311C7" w:rsidP="009311C7">
      <w:pPr>
        <w:rPr>
          <w:b/>
          <w:bCs/>
          <w:lang w:val="es-MX"/>
        </w:rPr>
      </w:pPr>
      <w:r w:rsidRPr="009311C7">
        <w:rPr>
          <w:b/>
          <w:bCs/>
          <w:lang w:val="es-MX"/>
        </w:rPr>
        <w:t>Conclusión</w:t>
      </w:r>
    </w:p>
    <w:p w14:paraId="0E92E7C9" w14:textId="77777777" w:rsidR="009311C7" w:rsidRPr="009311C7" w:rsidRDefault="009311C7" w:rsidP="009311C7">
      <w:pPr>
        <w:rPr>
          <w:lang w:val="es-MX"/>
        </w:rPr>
      </w:pPr>
      <w:r w:rsidRPr="009311C7">
        <w:rPr>
          <w:lang w:val="es-MX"/>
        </w:rPr>
        <w:t>Este capítulo destaca las limitaciones de los indicadores unidimensionales para medir la pobreza energética, subrayando la necesidad de enfoques multidimensionales. En el caso de Argentina, los subsidios y las condiciones locales muestran que los indicadores tradicionales no capturan plenamente el problema. Para abordar la pobreza energética de manera efectiva, es esencial adoptar mediciones más integrales y diseñar políticas públicas conscientes de las múltiples dimensiones del fenómeno.</w:t>
      </w:r>
    </w:p>
    <w:p w14:paraId="5E89950D" w14:textId="77777777" w:rsidR="00C16D56" w:rsidRPr="009311C7" w:rsidRDefault="00C16D56" w:rsidP="009311C7">
      <w:pPr>
        <w:rPr>
          <w:lang w:val="es-MX"/>
        </w:rPr>
      </w:pPr>
    </w:p>
    <w:sectPr w:rsidR="00C16D56" w:rsidRPr="009311C7" w:rsidSect="009200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90550"/>
    <w:multiLevelType w:val="multilevel"/>
    <w:tmpl w:val="E2C43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815D6"/>
    <w:multiLevelType w:val="multilevel"/>
    <w:tmpl w:val="F366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811EB"/>
    <w:multiLevelType w:val="multilevel"/>
    <w:tmpl w:val="40C6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83498"/>
    <w:multiLevelType w:val="multilevel"/>
    <w:tmpl w:val="CA965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11D00"/>
    <w:multiLevelType w:val="multilevel"/>
    <w:tmpl w:val="73A02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463582">
    <w:abstractNumId w:val="4"/>
  </w:num>
  <w:num w:numId="2" w16cid:durableId="2070105716">
    <w:abstractNumId w:val="3"/>
  </w:num>
  <w:num w:numId="3" w16cid:durableId="1760901761">
    <w:abstractNumId w:val="0"/>
  </w:num>
  <w:num w:numId="4" w16cid:durableId="1052773698">
    <w:abstractNumId w:val="1"/>
  </w:num>
  <w:num w:numId="5" w16cid:durableId="1686903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C7"/>
    <w:rsid w:val="00272D34"/>
    <w:rsid w:val="009200E1"/>
    <w:rsid w:val="009311C7"/>
    <w:rsid w:val="00C16D5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8CC2"/>
  <w15:chartTrackingRefBased/>
  <w15:docId w15:val="{93380F8B-2F63-4633-A0A0-45F5BF41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1C7"/>
    <w:rPr>
      <w:rFonts w:eastAsiaTheme="majorEastAsia" w:cstheme="majorBidi"/>
      <w:color w:val="272727" w:themeColor="text1" w:themeTint="D8"/>
    </w:rPr>
  </w:style>
  <w:style w:type="paragraph" w:styleId="Title">
    <w:name w:val="Title"/>
    <w:basedOn w:val="Normal"/>
    <w:next w:val="Normal"/>
    <w:link w:val="TitleChar"/>
    <w:uiPriority w:val="10"/>
    <w:qFormat/>
    <w:rsid w:val="00931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1C7"/>
    <w:pPr>
      <w:spacing w:before="160"/>
      <w:jc w:val="center"/>
    </w:pPr>
    <w:rPr>
      <w:i/>
      <w:iCs/>
      <w:color w:val="404040" w:themeColor="text1" w:themeTint="BF"/>
    </w:rPr>
  </w:style>
  <w:style w:type="character" w:customStyle="1" w:styleId="QuoteChar">
    <w:name w:val="Quote Char"/>
    <w:basedOn w:val="DefaultParagraphFont"/>
    <w:link w:val="Quote"/>
    <w:uiPriority w:val="29"/>
    <w:rsid w:val="009311C7"/>
    <w:rPr>
      <w:i/>
      <w:iCs/>
      <w:color w:val="404040" w:themeColor="text1" w:themeTint="BF"/>
    </w:rPr>
  </w:style>
  <w:style w:type="paragraph" w:styleId="ListParagraph">
    <w:name w:val="List Paragraph"/>
    <w:basedOn w:val="Normal"/>
    <w:uiPriority w:val="34"/>
    <w:qFormat/>
    <w:rsid w:val="009311C7"/>
    <w:pPr>
      <w:ind w:left="720"/>
      <w:contextualSpacing/>
    </w:pPr>
  </w:style>
  <w:style w:type="character" w:styleId="IntenseEmphasis">
    <w:name w:val="Intense Emphasis"/>
    <w:basedOn w:val="DefaultParagraphFont"/>
    <w:uiPriority w:val="21"/>
    <w:qFormat/>
    <w:rsid w:val="009311C7"/>
    <w:rPr>
      <w:i/>
      <w:iCs/>
      <w:color w:val="0F4761" w:themeColor="accent1" w:themeShade="BF"/>
    </w:rPr>
  </w:style>
  <w:style w:type="paragraph" w:styleId="IntenseQuote">
    <w:name w:val="Intense Quote"/>
    <w:basedOn w:val="Normal"/>
    <w:next w:val="Normal"/>
    <w:link w:val="IntenseQuoteChar"/>
    <w:uiPriority w:val="30"/>
    <w:qFormat/>
    <w:rsid w:val="00931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1C7"/>
    <w:rPr>
      <w:i/>
      <w:iCs/>
      <w:color w:val="0F4761" w:themeColor="accent1" w:themeShade="BF"/>
    </w:rPr>
  </w:style>
  <w:style w:type="character" w:styleId="IntenseReference">
    <w:name w:val="Intense Reference"/>
    <w:basedOn w:val="DefaultParagraphFont"/>
    <w:uiPriority w:val="32"/>
    <w:qFormat/>
    <w:rsid w:val="009311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2463">
      <w:bodyDiv w:val="1"/>
      <w:marLeft w:val="0"/>
      <w:marRight w:val="0"/>
      <w:marTop w:val="0"/>
      <w:marBottom w:val="0"/>
      <w:divBdr>
        <w:top w:val="none" w:sz="0" w:space="0" w:color="auto"/>
        <w:left w:val="none" w:sz="0" w:space="0" w:color="auto"/>
        <w:bottom w:val="none" w:sz="0" w:space="0" w:color="auto"/>
        <w:right w:val="none" w:sz="0" w:space="0" w:color="auto"/>
      </w:divBdr>
      <w:divsChild>
        <w:div w:id="1432623139">
          <w:marLeft w:val="0"/>
          <w:marRight w:val="0"/>
          <w:marTop w:val="0"/>
          <w:marBottom w:val="0"/>
          <w:divBdr>
            <w:top w:val="none" w:sz="0" w:space="0" w:color="auto"/>
            <w:left w:val="none" w:sz="0" w:space="0" w:color="auto"/>
            <w:bottom w:val="none" w:sz="0" w:space="0" w:color="auto"/>
            <w:right w:val="none" w:sz="0" w:space="0" w:color="auto"/>
          </w:divBdr>
          <w:divsChild>
            <w:div w:id="432017695">
              <w:marLeft w:val="0"/>
              <w:marRight w:val="0"/>
              <w:marTop w:val="0"/>
              <w:marBottom w:val="0"/>
              <w:divBdr>
                <w:top w:val="none" w:sz="0" w:space="0" w:color="auto"/>
                <w:left w:val="none" w:sz="0" w:space="0" w:color="auto"/>
                <w:bottom w:val="none" w:sz="0" w:space="0" w:color="auto"/>
                <w:right w:val="none" w:sz="0" w:space="0" w:color="auto"/>
              </w:divBdr>
              <w:divsChild>
                <w:div w:id="129516276">
                  <w:marLeft w:val="0"/>
                  <w:marRight w:val="0"/>
                  <w:marTop w:val="0"/>
                  <w:marBottom w:val="0"/>
                  <w:divBdr>
                    <w:top w:val="none" w:sz="0" w:space="0" w:color="auto"/>
                    <w:left w:val="none" w:sz="0" w:space="0" w:color="auto"/>
                    <w:bottom w:val="none" w:sz="0" w:space="0" w:color="auto"/>
                    <w:right w:val="none" w:sz="0" w:space="0" w:color="auto"/>
                  </w:divBdr>
                  <w:divsChild>
                    <w:div w:id="602764630">
                      <w:marLeft w:val="0"/>
                      <w:marRight w:val="0"/>
                      <w:marTop w:val="0"/>
                      <w:marBottom w:val="0"/>
                      <w:divBdr>
                        <w:top w:val="none" w:sz="0" w:space="0" w:color="auto"/>
                        <w:left w:val="none" w:sz="0" w:space="0" w:color="auto"/>
                        <w:bottom w:val="none" w:sz="0" w:space="0" w:color="auto"/>
                        <w:right w:val="none" w:sz="0" w:space="0" w:color="auto"/>
                      </w:divBdr>
                      <w:divsChild>
                        <w:div w:id="1741513469">
                          <w:marLeft w:val="0"/>
                          <w:marRight w:val="0"/>
                          <w:marTop w:val="0"/>
                          <w:marBottom w:val="0"/>
                          <w:divBdr>
                            <w:top w:val="none" w:sz="0" w:space="0" w:color="auto"/>
                            <w:left w:val="none" w:sz="0" w:space="0" w:color="auto"/>
                            <w:bottom w:val="none" w:sz="0" w:space="0" w:color="auto"/>
                            <w:right w:val="none" w:sz="0" w:space="0" w:color="auto"/>
                          </w:divBdr>
                          <w:divsChild>
                            <w:div w:id="1182400988">
                              <w:marLeft w:val="0"/>
                              <w:marRight w:val="0"/>
                              <w:marTop w:val="0"/>
                              <w:marBottom w:val="0"/>
                              <w:divBdr>
                                <w:top w:val="none" w:sz="0" w:space="0" w:color="auto"/>
                                <w:left w:val="none" w:sz="0" w:space="0" w:color="auto"/>
                                <w:bottom w:val="none" w:sz="0" w:space="0" w:color="auto"/>
                                <w:right w:val="none" w:sz="0" w:space="0" w:color="auto"/>
                              </w:divBdr>
                              <w:divsChild>
                                <w:div w:id="401291493">
                                  <w:marLeft w:val="0"/>
                                  <w:marRight w:val="0"/>
                                  <w:marTop w:val="0"/>
                                  <w:marBottom w:val="0"/>
                                  <w:divBdr>
                                    <w:top w:val="none" w:sz="0" w:space="0" w:color="auto"/>
                                    <w:left w:val="none" w:sz="0" w:space="0" w:color="auto"/>
                                    <w:bottom w:val="none" w:sz="0" w:space="0" w:color="auto"/>
                                    <w:right w:val="none" w:sz="0" w:space="0" w:color="auto"/>
                                  </w:divBdr>
                                  <w:divsChild>
                                    <w:div w:id="1109162420">
                                      <w:marLeft w:val="0"/>
                                      <w:marRight w:val="0"/>
                                      <w:marTop w:val="0"/>
                                      <w:marBottom w:val="0"/>
                                      <w:divBdr>
                                        <w:top w:val="none" w:sz="0" w:space="0" w:color="auto"/>
                                        <w:left w:val="none" w:sz="0" w:space="0" w:color="auto"/>
                                        <w:bottom w:val="none" w:sz="0" w:space="0" w:color="auto"/>
                                        <w:right w:val="none" w:sz="0" w:space="0" w:color="auto"/>
                                      </w:divBdr>
                                      <w:divsChild>
                                        <w:div w:id="2049136928">
                                          <w:marLeft w:val="0"/>
                                          <w:marRight w:val="0"/>
                                          <w:marTop w:val="0"/>
                                          <w:marBottom w:val="0"/>
                                          <w:divBdr>
                                            <w:top w:val="none" w:sz="0" w:space="0" w:color="auto"/>
                                            <w:left w:val="none" w:sz="0" w:space="0" w:color="auto"/>
                                            <w:bottom w:val="none" w:sz="0" w:space="0" w:color="auto"/>
                                            <w:right w:val="none" w:sz="0" w:space="0" w:color="auto"/>
                                          </w:divBdr>
                                          <w:divsChild>
                                            <w:div w:id="5542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269567">
      <w:bodyDiv w:val="1"/>
      <w:marLeft w:val="0"/>
      <w:marRight w:val="0"/>
      <w:marTop w:val="0"/>
      <w:marBottom w:val="0"/>
      <w:divBdr>
        <w:top w:val="none" w:sz="0" w:space="0" w:color="auto"/>
        <w:left w:val="none" w:sz="0" w:space="0" w:color="auto"/>
        <w:bottom w:val="none" w:sz="0" w:space="0" w:color="auto"/>
        <w:right w:val="none" w:sz="0" w:space="0" w:color="auto"/>
      </w:divBdr>
      <w:divsChild>
        <w:div w:id="400523121">
          <w:marLeft w:val="0"/>
          <w:marRight w:val="0"/>
          <w:marTop w:val="0"/>
          <w:marBottom w:val="0"/>
          <w:divBdr>
            <w:top w:val="none" w:sz="0" w:space="0" w:color="auto"/>
            <w:left w:val="none" w:sz="0" w:space="0" w:color="auto"/>
            <w:bottom w:val="none" w:sz="0" w:space="0" w:color="auto"/>
            <w:right w:val="none" w:sz="0" w:space="0" w:color="auto"/>
          </w:divBdr>
          <w:divsChild>
            <w:div w:id="821047470">
              <w:marLeft w:val="0"/>
              <w:marRight w:val="0"/>
              <w:marTop w:val="0"/>
              <w:marBottom w:val="0"/>
              <w:divBdr>
                <w:top w:val="none" w:sz="0" w:space="0" w:color="auto"/>
                <w:left w:val="none" w:sz="0" w:space="0" w:color="auto"/>
                <w:bottom w:val="none" w:sz="0" w:space="0" w:color="auto"/>
                <w:right w:val="none" w:sz="0" w:space="0" w:color="auto"/>
              </w:divBdr>
              <w:divsChild>
                <w:div w:id="679771997">
                  <w:marLeft w:val="0"/>
                  <w:marRight w:val="0"/>
                  <w:marTop w:val="0"/>
                  <w:marBottom w:val="0"/>
                  <w:divBdr>
                    <w:top w:val="none" w:sz="0" w:space="0" w:color="auto"/>
                    <w:left w:val="none" w:sz="0" w:space="0" w:color="auto"/>
                    <w:bottom w:val="none" w:sz="0" w:space="0" w:color="auto"/>
                    <w:right w:val="none" w:sz="0" w:space="0" w:color="auto"/>
                  </w:divBdr>
                  <w:divsChild>
                    <w:div w:id="2109692518">
                      <w:marLeft w:val="0"/>
                      <w:marRight w:val="0"/>
                      <w:marTop w:val="0"/>
                      <w:marBottom w:val="0"/>
                      <w:divBdr>
                        <w:top w:val="none" w:sz="0" w:space="0" w:color="auto"/>
                        <w:left w:val="none" w:sz="0" w:space="0" w:color="auto"/>
                        <w:bottom w:val="none" w:sz="0" w:space="0" w:color="auto"/>
                        <w:right w:val="none" w:sz="0" w:space="0" w:color="auto"/>
                      </w:divBdr>
                      <w:divsChild>
                        <w:div w:id="7668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291597">
      <w:bodyDiv w:val="1"/>
      <w:marLeft w:val="0"/>
      <w:marRight w:val="0"/>
      <w:marTop w:val="0"/>
      <w:marBottom w:val="0"/>
      <w:divBdr>
        <w:top w:val="none" w:sz="0" w:space="0" w:color="auto"/>
        <w:left w:val="none" w:sz="0" w:space="0" w:color="auto"/>
        <w:bottom w:val="none" w:sz="0" w:space="0" w:color="auto"/>
        <w:right w:val="none" w:sz="0" w:space="0" w:color="auto"/>
      </w:divBdr>
      <w:divsChild>
        <w:div w:id="634335341">
          <w:marLeft w:val="0"/>
          <w:marRight w:val="0"/>
          <w:marTop w:val="0"/>
          <w:marBottom w:val="0"/>
          <w:divBdr>
            <w:top w:val="none" w:sz="0" w:space="0" w:color="auto"/>
            <w:left w:val="none" w:sz="0" w:space="0" w:color="auto"/>
            <w:bottom w:val="none" w:sz="0" w:space="0" w:color="auto"/>
            <w:right w:val="none" w:sz="0" w:space="0" w:color="auto"/>
          </w:divBdr>
          <w:divsChild>
            <w:div w:id="984089174">
              <w:marLeft w:val="0"/>
              <w:marRight w:val="0"/>
              <w:marTop w:val="0"/>
              <w:marBottom w:val="0"/>
              <w:divBdr>
                <w:top w:val="none" w:sz="0" w:space="0" w:color="auto"/>
                <w:left w:val="none" w:sz="0" w:space="0" w:color="auto"/>
                <w:bottom w:val="none" w:sz="0" w:space="0" w:color="auto"/>
                <w:right w:val="none" w:sz="0" w:space="0" w:color="auto"/>
              </w:divBdr>
              <w:divsChild>
                <w:div w:id="1124228691">
                  <w:marLeft w:val="0"/>
                  <w:marRight w:val="0"/>
                  <w:marTop w:val="0"/>
                  <w:marBottom w:val="0"/>
                  <w:divBdr>
                    <w:top w:val="none" w:sz="0" w:space="0" w:color="auto"/>
                    <w:left w:val="none" w:sz="0" w:space="0" w:color="auto"/>
                    <w:bottom w:val="none" w:sz="0" w:space="0" w:color="auto"/>
                    <w:right w:val="none" w:sz="0" w:space="0" w:color="auto"/>
                  </w:divBdr>
                  <w:divsChild>
                    <w:div w:id="107967531">
                      <w:marLeft w:val="0"/>
                      <w:marRight w:val="0"/>
                      <w:marTop w:val="0"/>
                      <w:marBottom w:val="0"/>
                      <w:divBdr>
                        <w:top w:val="none" w:sz="0" w:space="0" w:color="auto"/>
                        <w:left w:val="none" w:sz="0" w:space="0" w:color="auto"/>
                        <w:bottom w:val="none" w:sz="0" w:space="0" w:color="auto"/>
                        <w:right w:val="none" w:sz="0" w:space="0" w:color="auto"/>
                      </w:divBdr>
                      <w:divsChild>
                        <w:div w:id="14468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313794">
      <w:bodyDiv w:val="1"/>
      <w:marLeft w:val="0"/>
      <w:marRight w:val="0"/>
      <w:marTop w:val="0"/>
      <w:marBottom w:val="0"/>
      <w:divBdr>
        <w:top w:val="none" w:sz="0" w:space="0" w:color="auto"/>
        <w:left w:val="none" w:sz="0" w:space="0" w:color="auto"/>
        <w:bottom w:val="none" w:sz="0" w:space="0" w:color="auto"/>
        <w:right w:val="none" w:sz="0" w:space="0" w:color="auto"/>
      </w:divBdr>
      <w:divsChild>
        <w:div w:id="1953516332">
          <w:marLeft w:val="0"/>
          <w:marRight w:val="0"/>
          <w:marTop w:val="0"/>
          <w:marBottom w:val="0"/>
          <w:divBdr>
            <w:top w:val="none" w:sz="0" w:space="0" w:color="auto"/>
            <w:left w:val="none" w:sz="0" w:space="0" w:color="auto"/>
            <w:bottom w:val="none" w:sz="0" w:space="0" w:color="auto"/>
            <w:right w:val="none" w:sz="0" w:space="0" w:color="auto"/>
          </w:divBdr>
          <w:divsChild>
            <w:div w:id="1852719925">
              <w:marLeft w:val="0"/>
              <w:marRight w:val="0"/>
              <w:marTop w:val="0"/>
              <w:marBottom w:val="0"/>
              <w:divBdr>
                <w:top w:val="none" w:sz="0" w:space="0" w:color="auto"/>
                <w:left w:val="none" w:sz="0" w:space="0" w:color="auto"/>
                <w:bottom w:val="none" w:sz="0" w:space="0" w:color="auto"/>
                <w:right w:val="none" w:sz="0" w:space="0" w:color="auto"/>
              </w:divBdr>
              <w:divsChild>
                <w:div w:id="859785010">
                  <w:marLeft w:val="0"/>
                  <w:marRight w:val="0"/>
                  <w:marTop w:val="0"/>
                  <w:marBottom w:val="0"/>
                  <w:divBdr>
                    <w:top w:val="none" w:sz="0" w:space="0" w:color="auto"/>
                    <w:left w:val="none" w:sz="0" w:space="0" w:color="auto"/>
                    <w:bottom w:val="none" w:sz="0" w:space="0" w:color="auto"/>
                    <w:right w:val="none" w:sz="0" w:space="0" w:color="auto"/>
                  </w:divBdr>
                  <w:divsChild>
                    <w:div w:id="164638975">
                      <w:marLeft w:val="0"/>
                      <w:marRight w:val="0"/>
                      <w:marTop w:val="0"/>
                      <w:marBottom w:val="0"/>
                      <w:divBdr>
                        <w:top w:val="none" w:sz="0" w:space="0" w:color="auto"/>
                        <w:left w:val="none" w:sz="0" w:space="0" w:color="auto"/>
                        <w:bottom w:val="none" w:sz="0" w:space="0" w:color="auto"/>
                        <w:right w:val="none" w:sz="0" w:space="0" w:color="auto"/>
                      </w:divBdr>
                      <w:divsChild>
                        <w:div w:id="467746557">
                          <w:marLeft w:val="0"/>
                          <w:marRight w:val="0"/>
                          <w:marTop w:val="0"/>
                          <w:marBottom w:val="0"/>
                          <w:divBdr>
                            <w:top w:val="none" w:sz="0" w:space="0" w:color="auto"/>
                            <w:left w:val="none" w:sz="0" w:space="0" w:color="auto"/>
                            <w:bottom w:val="none" w:sz="0" w:space="0" w:color="auto"/>
                            <w:right w:val="none" w:sz="0" w:space="0" w:color="auto"/>
                          </w:divBdr>
                          <w:divsChild>
                            <w:div w:id="1695423701">
                              <w:marLeft w:val="0"/>
                              <w:marRight w:val="0"/>
                              <w:marTop w:val="0"/>
                              <w:marBottom w:val="0"/>
                              <w:divBdr>
                                <w:top w:val="none" w:sz="0" w:space="0" w:color="auto"/>
                                <w:left w:val="none" w:sz="0" w:space="0" w:color="auto"/>
                                <w:bottom w:val="none" w:sz="0" w:space="0" w:color="auto"/>
                                <w:right w:val="none" w:sz="0" w:space="0" w:color="auto"/>
                              </w:divBdr>
                              <w:divsChild>
                                <w:div w:id="2018382708">
                                  <w:marLeft w:val="0"/>
                                  <w:marRight w:val="0"/>
                                  <w:marTop w:val="0"/>
                                  <w:marBottom w:val="0"/>
                                  <w:divBdr>
                                    <w:top w:val="none" w:sz="0" w:space="0" w:color="auto"/>
                                    <w:left w:val="none" w:sz="0" w:space="0" w:color="auto"/>
                                    <w:bottom w:val="none" w:sz="0" w:space="0" w:color="auto"/>
                                    <w:right w:val="none" w:sz="0" w:space="0" w:color="auto"/>
                                  </w:divBdr>
                                  <w:divsChild>
                                    <w:div w:id="1839035500">
                                      <w:marLeft w:val="0"/>
                                      <w:marRight w:val="0"/>
                                      <w:marTop w:val="0"/>
                                      <w:marBottom w:val="0"/>
                                      <w:divBdr>
                                        <w:top w:val="none" w:sz="0" w:space="0" w:color="auto"/>
                                        <w:left w:val="none" w:sz="0" w:space="0" w:color="auto"/>
                                        <w:bottom w:val="none" w:sz="0" w:space="0" w:color="auto"/>
                                        <w:right w:val="none" w:sz="0" w:space="0" w:color="auto"/>
                                      </w:divBdr>
                                      <w:divsChild>
                                        <w:div w:id="1194728649">
                                          <w:marLeft w:val="0"/>
                                          <w:marRight w:val="0"/>
                                          <w:marTop w:val="0"/>
                                          <w:marBottom w:val="0"/>
                                          <w:divBdr>
                                            <w:top w:val="none" w:sz="0" w:space="0" w:color="auto"/>
                                            <w:left w:val="none" w:sz="0" w:space="0" w:color="auto"/>
                                            <w:bottom w:val="none" w:sz="0" w:space="0" w:color="auto"/>
                                            <w:right w:val="none" w:sz="0" w:space="0" w:color="auto"/>
                                          </w:divBdr>
                                          <w:divsChild>
                                            <w:div w:id="7164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Romero</dc:creator>
  <cp:keywords/>
  <dc:description/>
  <cp:lastModifiedBy>Indira Romero</cp:lastModifiedBy>
  <cp:revision>1</cp:revision>
  <dcterms:created xsi:type="dcterms:W3CDTF">2025-01-26T19:41:00Z</dcterms:created>
  <dcterms:modified xsi:type="dcterms:W3CDTF">2025-01-26T19:42:00Z</dcterms:modified>
</cp:coreProperties>
</file>