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7000F" w14:textId="77777777" w:rsidR="00B37793" w:rsidRPr="00B37793" w:rsidRDefault="00B37793" w:rsidP="00B37793">
      <w:r w:rsidRPr="00B37793">
        <w:t xml:space="preserve">El capítulo propone un enfoque metodológico para medir las diferentes dimensiones de la </w:t>
      </w:r>
      <w:r w:rsidRPr="00B37793">
        <w:rPr>
          <w:b/>
          <w:bCs/>
        </w:rPr>
        <w:t>pobreza energética</w:t>
      </w:r>
      <w:r w:rsidRPr="00B37793">
        <w:t xml:space="preserve">, con un énfasis especial en la </w:t>
      </w:r>
      <w:r w:rsidRPr="00B37793">
        <w:rPr>
          <w:b/>
          <w:bCs/>
        </w:rPr>
        <w:t>pobreza energética oculta</w:t>
      </w:r>
      <w:r w:rsidRPr="00B37793">
        <w:t xml:space="preserve"> (hidden energy poverty, HEP), que ha sido históricamente difícil de identificar en las estadísticas oficiales. Este enfoque se aplica al caso de España durante el año 2021, un período marcado por la crisis de precios de la energía y los efectos de la pandemia de COVID-19.</w:t>
      </w:r>
    </w:p>
    <w:p w14:paraId="761A04D4" w14:textId="77777777" w:rsidR="00B37793" w:rsidRPr="00B37793" w:rsidRDefault="00B37793" w:rsidP="00B37793">
      <w:r w:rsidRPr="00B37793">
        <w:pict w14:anchorId="2B13F562">
          <v:rect id="_x0000_i1055" style="width:0;height:1.5pt" o:hralign="center" o:hrstd="t" o:hr="t" fillcolor="#a0a0a0" stroked="f"/>
        </w:pict>
      </w:r>
    </w:p>
    <w:p w14:paraId="5F3840DC" w14:textId="77777777" w:rsidR="00B37793" w:rsidRPr="00B37793" w:rsidRDefault="00B37793" w:rsidP="00B37793">
      <w:pPr>
        <w:rPr>
          <w:b/>
          <w:bCs/>
        </w:rPr>
      </w:pPr>
      <w:r w:rsidRPr="00B37793">
        <w:rPr>
          <w:b/>
          <w:bCs/>
        </w:rPr>
        <w:t>1. Introducción</w:t>
      </w:r>
    </w:p>
    <w:p w14:paraId="0C1D1DE7" w14:textId="77777777" w:rsidR="00B37793" w:rsidRPr="00B37793" w:rsidRDefault="00B37793" w:rsidP="00B37793">
      <w:pPr>
        <w:numPr>
          <w:ilvl w:val="0"/>
          <w:numId w:val="1"/>
        </w:numPr>
      </w:pPr>
      <w:r w:rsidRPr="00B37793">
        <w:rPr>
          <w:b/>
          <w:bCs/>
        </w:rPr>
        <w:t>Pobreza energética y sus dimensiones</w:t>
      </w:r>
      <w:r w:rsidRPr="00B37793">
        <w:t>:</w:t>
      </w:r>
    </w:p>
    <w:p w14:paraId="5410E28F" w14:textId="77777777" w:rsidR="00B37793" w:rsidRPr="00B37793" w:rsidRDefault="00B37793" w:rsidP="00B37793">
      <w:pPr>
        <w:numPr>
          <w:ilvl w:val="1"/>
          <w:numId w:val="1"/>
        </w:numPr>
      </w:pPr>
      <w:r w:rsidRPr="00B37793">
        <w:t>Tradicionalmente, la pobreza energética se ha medido como un gasto desproporcionado en energía (e.g., más del 10% de los ingresos del hogar, propuesto por Boardman, 1991).</w:t>
      </w:r>
    </w:p>
    <w:p w14:paraId="26D07845" w14:textId="77777777" w:rsidR="00B37793" w:rsidRPr="00B37793" w:rsidRDefault="00B37793" w:rsidP="00B37793">
      <w:pPr>
        <w:numPr>
          <w:ilvl w:val="1"/>
          <w:numId w:val="1"/>
        </w:numPr>
      </w:pPr>
      <w:r w:rsidRPr="00B37793">
        <w:t xml:space="preserve">Sin embargo, existe otra dimensión clave: la </w:t>
      </w:r>
      <w:r w:rsidRPr="00B37793">
        <w:rPr>
          <w:b/>
          <w:bCs/>
        </w:rPr>
        <w:t>pobreza energética oculta</w:t>
      </w:r>
      <w:r w:rsidRPr="00B37793">
        <w:t xml:space="preserve">, en la que los hogares </w:t>
      </w:r>
      <w:r w:rsidRPr="00B37793">
        <w:rPr>
          <w:b/>
          <w:bCs/>
        </w:rPr>
        <w:t>reducen drásticamente su consumo energético</w:t>
      </w:r>
      <w:r w:rsidRPr="00B37793">
        <w:t xml:space="preserve"> para poder cubrir otras necesidades básicas, a menudo a costa de su bienestar.</w:t>
      </w:r>
    </w:p>
    <w:p w14:paraId="26A2AD42" w14:textId="77777777" w:rsidR="00B37793" w:rsidRPr="00B37793" w:rsidRDefault="00B37793" w:rsidP="00B37793">
      <w:pPr>
        <w:numPr>
          <w:ilvl w:val="0"/>
          <w:numId w:val="1"/>
        </w:numPr>
      </w:pPr>
      <w:r w:rsidRPr="00B37793">
        <w:rPr>
          <w:b/>
          <w:bCs/>
        </w:rPr>
        <w:t>Limitaciones de los indicadores actuales</w:t>
      </w:r>
      <w:r w:rsidRPr="00B37793">
        <w:t>:</w:t>
      </w:r>
    </w:p>
    <w:p w14:paraId="49DD8DAD" w14:textId="77777777" w:rsidR="00B37793" w:rsidRPr="00B37793" w:rsidRDefault="00B37793" w:rsidP="00B37793">
      <w:pPr>
        <w:numPr>
          <w:ilvl w:val="1"/>
          <w:numId w:val="1"/>
        </w:numPr>
      </w:pPr>
      <w:r w:rsidRPr="00B37793">
        <w:t xml:space="preserve">El indicador oficial de la UE, </w:t>
      </w:r>
      <w:r w:rsidRPr="00B37793">
        <w:rPr>
          <w:b/>
          <w:bCs/>
        </w:rPr>
        <w:t>M/2</w:t>
      </w:r>
      <w:r w:rsidRPr="00B37793">
        <w:t>, clasifica en pobreza energética a los hogares que gastan menos de la mitad de la mediana nacional en energía. Este enfoque relativo tiene limitaciones, ya que mide desigualdad más que pobreza, y no considera las necesidades energéticas reales de los hogares.</w:t>
      </w:r>
    </w:p>
    <w:p w14:paraId="5390F160" w14:textId="77777777" w:rsidR="00B37793" w:rsidRPr="00B37793" w:rsidRDefault="00B37793" w:rsidP="00B37793">
      <w:pPr>
        <w:numPr>
          <w:ilvl w:val="0"/>
          <w:numId w:val="1"/>
        </w:numPr>
      </w:pPr>
      <w:r w:rsidRPr="00B37793">
        <w:rPr>
          <w:b/>
          <w:bCs/>
        </w:rPr>
        <w:t>Propuesta del capítulo</w:t>
      </w:r>
      <w:r w:rsidRPr="00B37793">
        <w:t>:</w:t>
      </w:r>
    </w:p>
    <w:p w14:paraId="7A88CD4F" w14:textId="77777777" w:rsidR="00B37793" w:rsidRPr="00B37793" w:rsidRDefault="00B37793" w:rsidP="00B37793">
      <w:pPr>
        <w:numPr>
          <w:ilvl w:val="1"/>
          <w:numId w:val="1"/>
        </w:numPr>
      </w:pPr>
      <w:r w:rsidRPr="00B37793">
        <w:t>Introducir un enfoque basado en umbrales absolutos que identifiquen de forma más precisa la pobreza energética oculta. Este enfoque utiliza un modelo para calcular el gasto energético teórico necesario para satisfacer las necesidades del hogar y compara este valor con el gasto real.</w:t>
      </w:r>
    </w:p>
    <w:p w14:paraId="6D393CF1" w14:textId="77777777" w:rsidR="00B37793" w:rsidRPr="00B37793" w:rsidRDefault="00B37793" w:rsidP="00B37793">
      <w:r w:rsidRPr="00B37793">
        <w:pict w14:anchorId="37B97CA8">
          <v:rect id="_x0000_i1056" style="width:0;height:1.5pt" o:hralign="center" o:hrstd="t" o:hr="t" fillcolor="#a0a0a0" stroked="f"/>
        </w:pict>
      </w:r>
    </w:p>
    <w:p w14:paraId="47E3E375" w14:textId="77777777" w:rsidR="00B37793" w:rsidRPr="00B37793" w:rsidRDefault="00B37793" w:rsidP="00B37793">
      <w:pPr>
        <w:rPr>
          <w:b/>
          <w:bCs/>
        </w:rPr>
      </w:pPr>
      <w:r w:rsidRPr="00B37793">
        <w:rPr>
          <w:b/>
          <w:bCs/>
        </w:rPr>
        <w:t>2. Enfoque metodológico</w:t>
      </w:r>
    </w:p>
    <w:p w14:paraId="0C99EDBA" w14:textId="77777777" w:rsidR="00B37793" w:rsidRPr="00B37793" w:rsidRDefault="00B37793" w:rsidP="00B37793">
      <w:r w:rsidRPr="00B37793">
        <w:t>El enfoque propuesto combina indicadores primarios del Observatorio Europeo de Pobreza Energética (EPOV) con indicadores alternativos diseñados para capturar mejor las dimensiones de la pobreza energética.</w:t>
      </w:r>
    </w:p>
    <w:p w14:paraId="0841B378" w14:textId="77777777" w:rsidR="00B37793" w:rsidRPr="00B37793" w:rsidRDefault="00B37793" w:rsidP="00B37793">
      <w:pPr>
        <w:rPr>
          <w:b/>
          <w:bCs/>
        </w:rPr>
      </w:pPr>
      <w:r w:rsidRPr="00B37793">
        <w:rPr>
          <w:b/>
          <w:bCs/>
        </w:rPr>
        <w:t>Indicadores primarios (EPOV):</w:t>
      </w:r>
    </w:p>
    <w:p w14:paraId="5B8EAD3A" w14:textId="77777777" w:rsidR="00B37793" w:rsidRPr="00B37793" w:rsidRDefault="00B37793" w:rsidP="00B37793">
      <w:pPr>
        <w:numPr>
          <w:ilvl w:val="0"/>
          <w:numId w:val="2"/>
        </w:numPr>
      </w:pPr>
      <w:r w:rsidRPr="00B37793">
        <w:rPr>
          <w:b/>
          <w:bCs/>
        </w:rPr>
        <w:t>Gasto desproporcionado (2M)</w:t>
      </w:r>
      <w:r w:rsidRPr="00B37793">
        <w:t xml:space="preserve">: </w:t>
      </w:r>
    </w:p>
    <w:p w14:paraId="0B98717A" w14:textId="77777777" w:rsidR="00B37793" w:rsidRPr="00B37793" w:rsidRDefault="00B37793" w:rsidP="00B37793">
      <w:pPr>
        <w:numPr>
          <w:ilvl w:val="1"/>
          <w:numId w:val="2"/>
        </w:numPr>
      </w:pPr>
      <w:r w:rsidRPr="00B37793">
        <w:t>Hogares que gastan más del doble de la mediana nacional en energía.</w:t>
      </w:r>
    </w:p>
    <w:p w14:paraId="7245FBE8" w14:textId="77777777" w:rsidR="00B37793" w:rsidRPr="00B37793" w:rsidRDefault="00B37793" w:rsidP="00B37793">
      <w:pPr>
        <w:numPr>
          <w:ilvl w:val="0"/>
          <w:numId w:val="2"/>
        </w:numPr>
      </w:pPr>
      <w:r w:rsidRPr="00B37793">
        <w:rPr>
          <w:b/>
          <w:bCs/>
        </w:rPr>
        <w:t>Gasto insuficiente (M/2)</w:t>
      </w:r>
      <w:r w:rsidRPr="00B37793">
        <w:t xml:space="preserve">: </w:t>
      </w:r>
    </w:p>
    <w:p w14:paraId="01DDE208" w14:textId="77777777" w:rsidR="00B37793" w:rsidRPr="00B37793" w:rsidRDefault="00B37793" w:rsidP="00B37793">
      <w:pPr>
        <w:numPr>
          <w:ilvl w:val="1"/>
          <w:numId w:val="2"/>
        </w:numPr>
      </w:pPr>
      <w:r w:rsidRPr="00B37793">
        <w:t>Hogares que gastan menos de la mitad de la mediana nacional en energía.</w:t>
      </w:r>
    </w:p>
    <w:p w14:paraId="3834EC01" w14:textId="77777777" w:rsidR="00B37793" w:rsidRPr="00B37793" w:rsidRDefault="00B37793" w:rsidP="00B37793">
      <w:pPr>
        <w:numPr>
          <w:ilvl w:val="0"/>
          <w:numId w:val="2"/>
        </w:numPr>
      </w:pPr>
      <w:r w:rsidRPr="00B37793">
        <w:rPr>
          <w:b/>
          <w:bCs/>
        </w:rPr>
        <w:t>Temperatura inadecuada</w:t>
      </w:r>
      <w:r w:rsidRPr="00B37793">
        <w:t xml:space="preserve">: </w:t>
      </w:r>
    </w:p>
    <w:p w14:paraId="614EA473" w14:textId="77777777" w:rsidR="00B37793" w:rsidRPr="00B37793" w:rsidRDefault="00B37793" w:rsidP="00B37793">
      <w:pPr>
        <w:numPr>
          <w:ilvl w:val="1"/>
          <w:numId w:val="2"/>
        </w:numPr>
      </w:pPr>
      <w:r w:rsidRPr="00B37793">
        <w:lastRenderedPageBreak/>
        <w:t>Hogares que declaran no poder mantener su vivienda a una temperatura adecuada en invierno.</w:t>
      </w:r>
    </w:p>
    <w:p w14:paraId="2107C890" w14:textId="77777777" w:rsidR="00B37793" w:rsidRPr="00B37793" w:rsidRDefault="00B37793" w:rsidP="00B37793">
      <w:pPr>
        <w:numPr>
          <w:ilvl w:val="0"/>
          <w:numId w:val="2"/>
        </w:numPr>
      </w:pPr>
      <w:r w:rsidRPr="00B37793">
        <w:rPr>
          <w:b/>
          <w:bCs/>
        </w:rPr>
        <w:t>Atrasos en facturas</w:t>
      </w:r>
      <w:r w:rsidRPr="00B37793">
        <w:t xml:space="preserve">: </w:t>
      </w:r>
    </w:p>
    <w:p w14:paraId="42A60EA9" w14:textId="77777777" w:rsidR="00B37793" w:rsidRPr="00B37793" w:rsidRDefault="00B37793" w:rsidP="00B37793">
      <w:pPr>
        <w:numPr>
          <w:ilvl w:val="1"/>
          <w:numId w:val="2"/>
        </w:numPr>
      </w:pPr>
      <w:r w:rsidRPr="00B37793">
        <w:t>Hogares que reportan retrasos en el pago de sus facturas de servicios básicos.</w:t>
      </w:r>
    </w:p>
    <w:p w14:paraId="778D34C5" w14:textId="77777777" w:rsidR="00B37793" w:rsidRPr="00B37793" w:rsidRDefault="00B37793" w:rsidP="00B37793">
      <w:pPr>
        <w:rPr>
          <w:b/>
          <w:bCs/>
        </w:rPr>
      </w:pPr>
      <w:r w:rsidRPr="00B37793">
        <w:rPr>
          <w:b/>
          <w:bCs/>
        </w:rPr>
        <w:t>Indicadores alternativos:</w:t>
      </w:r>
    </w:p>
    <w:p w14:paraId="7F2E5F6D" w14:textId="77777777" w:rsidR="00B37793" w:rsidRPr="00B37793" w:rsidRDefault="00B37793" w:rsidP="00B37793">
      <w:pPr>
        <w:numPr>
          <w:ilvl w:val="0"/>
          <w:numId w:val="3"/>
        </w:numPr>
      </w:pPr>
      <w:r w:rsidRPr="00B37793">
        <w:rPr>
          <w:b/>
          <w:bCs/>
        </w:rPr>
        <w:t>MIS (Minimum Income Standard)</w:t>
      </w:r>
      <w:r w:rsidRPr="00B37793">
        <w:t xml:space="preserve">: </w:t>
      </w:r>
    </w:p>
    <w:p w14:paraId="310FCE29" w14:textId="77777777" w:rsidR="00B37793" w:rsidRPr="00B37793" w:rsidRDefault="00B37793" w:rsidP="00B37793">
      <w:pPr>
        <w:numPr>
          <w:ilvl w:val="1"/>
          <w:numId w:val="3"/>
        </w:numPr>
      </w:pPr>
      <w:r w:rsidRPr="00B37793">
        <w:t>Este indicador mide el gasto desproporcionado en relación con un umbral absoluto basado en los ingresos mínimos necesarios para cubrir las necesidades básicas del hogar (e.g., salario mínimo).</w:t>
      </w:r>
    </w:p>
    <w:p w14:paraId="4664D495" w14:textId="77777777" w:rsidR="00B37793" w:rsidRPr="00B37793" w:rsidRDefault="00B37793" w:rsidP="00B37793">
      <w:pPr>
        <w:numPr>
          <w:ilvl w:val="0"/>
          <w:numId w:val="3"/>
        </w:numPr>
      </w:pPr>
      <w:r w:rsidRPr="00B37793">
        <w:rPr>
          <w:b/>
          <w:bCs/>
        </w:rPr>
        <w:t>HEP (Hidden Energy Poverty)</w:t>
      </w:r>
      <w:r w:rsidRPr="00B37793">
        <w:t xml:space="preserve">: </w:t>
      </w:r>
    </w:p>
    <w:p w14:paraId="253C423B" w14:textId="77777777" w:rsidR="00B37793" w:rsidRPr="00B37793" w:rsidRDefault="00B37793" w:rsidP="00B37793">
      <w:pPr>
        <w:numPr>
          <w:ilvl w:val="1"/>
          <w:numId w:val="3"/>
        </w:numPr>
      </w:pPr>
      <w:r w:rsidRPr="00B37793">
        <w:t xml:space="preserve">Define pobreza energética oculta como el caso de hogares que: </w:t>
      </w:r>
    </w:p>
    <w:p w14:paraId="13C58CB4" w14:textId="77777777" w:rsidR="00B37793" w:rsidRPr="00B37793" w:rsidRDefault="00B37793" w:rsidP="00B37793">
      <w:pPr>
        <w:numPr>
          <w:ilvl w:val="2"/>
          <w:numId w:val="3"/>
        </w:numPr>
      </w:pPr>
      <w:r w:rsidRPr="00B37793">
        <w:t>Gastan menos de la mitad del gasto energético requerido (RENE/2).</w:t>
      </w:r>
    </w:p>
    <w:p w14:paraId="1CB3A2DE" w14:textId="77777777" w:rsidR="00B37793" w:rsidRPr="00B37793" w:rsidRDefault="00B37793" w:rsidP="00B37793">
      <w:pPr>
        <w:numPr>
          <w:ilvl w:val="2"/>
          <w:numId w:val="3"/>
        </w:numPr>
      </w:pPr>
      <w:r w:rsidRPr="00B37793">
        <w:t>Están en los cinco deciles más bajos de ingresos.</w:t>
      </w:r>
    </w:p>
    <w:p w14:paraId="327BF172" w14:textId="77777777" w:rsidR="00B37793" w:rsidRPr="00B37793" w:rsidRDefault="00B37793" w:rsidP="00B37793">
      <w:pPr>
        <w:numPr>
          <w:ilvl w:val="1"/>
          <w:numId w:val="3"/>
        </w:numPr>
      </w:pPr>
      <w:r w:rsidRPr="00B37793">
        <w:t xml:space="preserve">También se propone el indicador de </w:t>
      </w:r>
      <w:r w:rsidRPr="00B37793">
        <w:rPr>
          <w:b/>
          <w:bCs/>
        </w:rPr>
        <w:t>pobreza energética extrema</w:t>
      </w:r>
      <w:r w:rsidRPr="00B37793">
        <w:t>, para hogares que gastan menos de un cuarto del gasto energético requerido (RENE/4).</w:t>
      </w:r>
    </w:p>
    <w:p w14:paraId="57EA713D" w14:textId="77777777" w:rsidR="00B37793" w:rsidRPr="00B37793" w:rsidRDefault="00B37793" w:rsidP="00B37793">
      <w:pPr>
        <w:rPr>
          <w:b/>
          <w:bCs/>
        </w:rPr>
      </w:pPr>
      <w:r w:rsidRPr="00B37793">
        <w:rPr>
          <w:b/>
          <w:bCs/>
        </w:rPr>
        <w:t>Datos utilizados:</w:t>
      </w:r>
    </w:p>
    <w:p w14:paraId="58070E4B" w14:textId="77777777" w:rsidR="00B37793" w:rsidRPr="00B37793" w:rsidRDefault="00B37793" w:rsidP="00B37793">
      <w:pPr>
        <w:numPr>
          <w:ilvl w:val="0"/>
          <w:numId w:val="4"/>
        </w:numPr>
      </w:pPr>
      <w:r w:rsidRPr="00B37793">
        <w:t>Encuesta de Presupuestos Familiares (HBS) y Encuesta de Condiciones de Vida (SILC) en España para los años 2019, 2020 y 2021.</w:t>
      </w:r>
    </w:p>
    <w:p w14:paraId="21BC4AFC" w14:textId="77777777" w:rsidR="00B37793" w:rsidRPr="00B37793" w:rsidRDefault="00B37793" w:rsidP="00B37793">
      <w:r w:rsidRPr="00B37793">
        <w:pict w14:anchorId="61EFFA84">
          <v:rect id="_x0000_i1057" style="width:0;height:1.5pt" o:hralign="center" o:hrstd="t" o:hr="t" fillcolor="#a0a0a0" stroked="f"/>
        </w:pict>
      </w:r>
    </w:p>
    <w:p w14:paraId="4F956310" w14:textId="77777777" w:rsidR="00B37793" w:rsidRPr="00B37793" w:rsidRDefault="00B37793" w:rsidP="00B37793">
      <w:pPr>
        <w:rPr>
          <w:b/>
          <w:bCs/>
        </w:rPr>
      </w:pPr>
      <w:r w:rsidRPr="00B37793">
        <w:rPr>
          <w:b/>
          <w:bCs/>
        </w:rPr>
        <w:t>3. Resultados en España</w:t>
      </w:r>
    </w:p>
    <w:p w14:paraId="31063B86" w14:textId="77777777" w:rsidR="00B37793" w:rsidRPr="00B37793" w:rsidRDefault="00B37793" w:rsidP="00B37793">
      <w:pPr>
        <w:rPr>
          <w:b/>
          <w:bCs/>
        </w:rPr>
      </w:pPr>
      <w:r w:rsidRPr="00B37793">
        <w:rPr>
          <w:b/>
          <w:bCs/>
        </w:rPr>
        <w:t>Indicadores primarios (EPOV):</w:t>
      </w:r>
    </w:p>
    <w:p w14:paraId="57264DEF" w14:textId="77777777" w:rsidR="00B37793" w:rsidRPr="00B37793" w:rsidRDefault="00B37793" w:rsidP="00B37793">
      <w:pPr>
        <w:numPr>
          <w:ilvl w:val="0"/>
          <w:numId w:val="5"/>
        </w:numPr>
      </w:pPr>
      <w:r w:rsidRPr="00B37793">
        <w:rPr>
          <w:b/>
          <w:bCs/>
        </w:rPr>
        <w:t>2M (gasto desproporcionado)</w:t>
      </w:r>
      <w:r w:rsidRPr="00B37793">
        <w:t>:</w:t>
      </w:r>
    </w:p>
    <w:p w14:paraId="7388A3E3" w14:textId="77777777" w:rsidR="00B37793" w:rsidRPr="00B37793" w:rsidRDefault="00B37793" w:rsidP="00B37793">
      <w:pPr>
        <w:numPr>
          <w:ilvl w:val="1"/>
          <w:numId w:val="5"/>
        </w:numPr>
      </w:pPr>
      <w:r w:rsidRPr="00B37793">
        <w:t>En 2021, el 15.2% de los hogares españoles (3 millones) gastaron más del doble de la mediana nacional en energía, un leve descenso respecto a 2020 (16.1%).</w:t>
      </w:r>
    </w:p>
    <w:p w14:paraId="5C04220A" w14:textId="77777777" w:rsidR="00B37793" w:rsidRPr="00B37793" w:rsidRDefault="00B37793" w:rsidP="00B37793">
      <w:pPr>
        <w:numPr>
          <w:ilvl w:val="1"/>
          <w:numId w:val="5"/>
        </w:numPr>
      </w:pPr>
      <w:r w:rsidRPr="00B37793">
        <w:t>Este descenso puede explicarse porque los ingresos de los hogares crecieron en 2021, compensando parcialmente el aumento de los precios de la energía.</w:t>
      </w:r>
    </w:p>
    <w:p w14:paraId="259ACD19" w14:textId="77777777" w:rsidR="00B37793" w:rsidRPr="00B37793" w:rsidRDefault="00B37793" w:rsidP="00B37793">
      <w:pPr>
        <w:numPr>
          <w:ilvl w:val="0"/>
          <w:numId w:val="5"/>
        </w:numPr>
      </w:pPr>
      <w:r w:rsidRPr="00B37793">
        <w:rPr>
          <w:b/>
          <w:bCs/>
        </w:rPr>
        <w:t>M/2 (gasto insuficiente)</w:t>
      </w:r>
      <w:r w:rsidRPr="00B37793">
        <w:t>:</w:t>
      </w:r>
    </w:p>
    <w:p w14:paraId="3EBB0E66" w14:textId="77777777" w:rsidR="00B37793" w:rsidRPr="00B37793" w:rsidRDefault="00B37793" w:rsidP="00B37793">
      <w:pPr>
        <w:numPr>
          <w:ilvl w:val="1"/>
          <w:numId w:val="5"/>
        </w:numPr>
      </w:pPr>
      <w:r w:rsidRPr="00B37793">
        <w:t>En 2021, el 10.1% de los hogares (200,000 menos que en 2020) gastaron menos de la mitad de la mediana nacional en energía. Esto sugiere que las políticas sociales ayudaron a contener el subconsumo.</w:t>
      </w:r>
    </w:p>
    <w:p w14:paraId="2924427C" w14:textId="77777777" w:rsidR="00B37793" w:rsidRPr="00B37793" w:rsidRDefault="00B37793" w:rsidP="00B37793">
      <w:pPr>
        <w:numPr>
          <w:ilvl w:val="0"/>
          <w:numId w:val="5"/>
        </w:numPr>
      </w:pPr>
      <w:r w:rsidRPr="00B37793">
        <w:rPr>
          <w:b/>
          <w:bCs/>
        </w:rPr>
        <w:lastRenderedPageBreak/>
        <w:t>Atrasos en facturas</w:t>
      </w:r>
      <w:r w:rsidRPr="00B37793">
        <w:t>:</w:t>
      </w:r>
    </w:p>
    <w:p w14:paraId="6F176A4F" w14:textId="77777777" w:rsidR="00B37793" w:rsidRPr="00B37793" w:rsidRDefault="00B37793" w:rsidP="00B37793">
      <w:pPr>
        <w:numPr>
          <w:ilvl w:val="1"/>
          <w:numId w:val="5"/>
        </w:numPr>
      </w:pPr>
      <w:r w:rsidRPr="00B37793">
        <w:t>En 2021, el 9.5% de la población reportó retrasos en el pago de facturas, una cifra similar a 2020, pero significativamente mayor que en 2019 (6.6%).</w:t>
      </w:r>
    </w:p>
    <w:p w14:paraId="70563BAD" w14:textId="77777777" w:rsidR="00B37793" w:rsidRPr="00B37793" w:rsidRDefault="00B37793" w:rsidP="00B37793">
      <w:pPr>
        <w:numPr>
          <w:ilvl w:val="0"/>
          <w:numId w:val="5"/>
        </w:numPr>
      </w:pPr>
      <w:r w:rsidRPr="00B37793">
        <w:rPr>
          <w:b/>
          <w:bCs/>
        </w:rPr>
        <w:t>Temperatura inadecuada</w:t>
      </w:r>
      <w:r w:rsidRPr="00B37793">
        <w:t>:</w:t>
      </w:r>
    </w:p>
    <w:p w14:paraId="373C5A1A" w14:textId="77777777" w:rsidR="00B37793" w:rsidRPr="00B37793" w:rsidRDefault="00B37793" w:rsidP="00B37793">
      <w:pPr>
        <w:numPr>
          <w:ilvl w:val="1"/>
          <w:numId w:val="5"/>
        </w:numPr>
      </w:pPr>
      <w:r w:rsidRPr="00B37793">
        <w:t>Este indicador empeoró notablemente, pasando del 10.9% en 2020 al 14.3% en 2021 (6.7 millones de personas). Esto refleja el impacto del aumento de precios y eventos climáticos como la tormenta Filomena.</w:t>
      </w:r>
    </w:p>
    <w:p w14:paraId="215973D6" w14:textId="77777777" w:rsidR="00B37793" w:rsidRPr="00B37793" w:rsidRDefault="00B37793" w:rsidP="00B37793">
      <w:pPr>
        <w:rPr>
          <w:b/>
          <w:bCs/>
        </w:rPr>
      </w:pPr>
      <w:r w:rsidRPr="00B37793">
        <w:rPr>
          <w:b/>
          <w:bCs/>
        </w:rPr>
        <w:t>Indicadores alternativos:</w:t>
      </w:r>
    </w:p>
    <w:p w14:paraId="7FBD8ACA" w14:textId="77777777" w:rsidR="00B37793" w:rsidRPr="00B37793" w:rsidRDefault="00B37793" w:rsidP="00B37793">
      <w:pPr>
        <w:numPr>
          <w:ilvl w:val="0"/>
          <w:numId w:val="6"/>
        </w:numPr>
      </w:pPr>
      <w:r w:rsidRPr="00B37793">
        <w:rPr>
          <w:b/>
          <w:bCs/>
        </w:rPr>
        <w:t>MIS (gasto desproporcionado)</w:t>
      </w:r>
      <w:r w:rsidRPr="00B37793">
        <w:t>:</w:t>
      </w:r>
    </w:p>
    <w:p w14:paraId="2582747A" w14:textId="77777777" w:rsidR="00B37793" w:rsidRPr="00B37793" w:rsidRDefault="00B37793" w:rsidP="00B37793">
      <w:pPr>
        <w:numPr>
          <w:ilvl w:val="1"/>
          <w:numId w:val="6"/>
        </w:numPr>
      </w:pPr>
      <w:r w:rsidRPr="00B37793">
        <w:t>En 2021, el 14.6% de los hogares no tuvieron ingresos suficientes para cubrir sus necesidades básicas y su factura energética, una mejora respecto al 16.6% en 2020.</w:t>
      </w:r>
    </w:p>
    <w:p w14:paraId="18BB20FF" w14:textId="77777777" w:rsidR="00B37793" w:rsidRPr="00B37793" w:rsidRDefault="00B37793" w:rsidP="00B37793">
      <w:pPr>
        <w:numPr>
          <w:ilvl w:val="0"/>
          <w:numId w:val="6"/>
        </w:numPr>
      </w:pPr>
      <w:r w:rsidRPr="00B37793">
        <w:rPr>
          <w:b/>
          <w:bCs/>
        </w:rPr>
        <w:t>HEP (pobreza energética oculta)</w:t>
      </w:r>
      <w:r w:rsidRPr="00B37793">
        <w:t>:</w:t>
      </w:r>
    </w:p>
    <w:p w14:paraId="5DEDA4B6" w14:textId="77777777" w:rsidR="00B37793" w:rsidRPr="00B37793" w:rsidRDefault="00B37793" w:rsidP="00B37793">
      <w:pPr>
        <w:numPr>
          <w:ilvl w:val="1"/>
          <w:numId w:val="6"/>
        </w:numPr>
      </w:pPr>
      <w:r w:rsidRPr="00B37793">
        <w:t>En 2021, el 31.2% de los hogares gastaron menos de la mitad de su gasto energético requerido, un aumento significativo respecto al 21.1% en 2020.</w:t>
      </w:r>
    </w:p>
    <w:p w14:paraId="00D4BE4D" w14:textId="77777777" w:rsidR="00B37793" w:rsidRPr="00B37793" w:rsidRDefault="00B37793" w:rsidP="00B37793">
      <w:pPr>
        <w:numPr>
          <w:ilvl w:val="1"/>
          <w:numId w:val="6"/>
        </w:numPr>
      </w:pPr>
      <w:r w:rsidRPr="00B37793">
        <w:t xml:space="preserve">El indicador de </w:t>
      </w:r>
      <w:r w:rsidRPr="00B37793">
        <w:rPr>
          <w:b/>
          <w:bCs/>
        </w:rPr>
        <w:t>pobreza energética extrema</w:t>
      </w:r>
      <w:r w:rsidRPr="00B37793">
        <w:t xml:space="preserve"> (RENE/4) mostró que el 10.3% de los hogares gastaron menos de un cuarto de su gasto energético necesario, el doble del valor de 2020. Este aumento refleja una grave reducción en el consumo energético debido a la crisis de precios.</w:t>
      </w:r>
    </w:p>
    <w:p w14:paraId="7C953DD3" w14:textId="77777777" w:rsidR="00B37793" w:rsidRPr="00B37793" w:rsidRDefault="00B37793" w:rsidP="00B37793">
      <w:r w:rsidRPr="00B37793">
        <w:pict w14:anchorId="4E6A90B7">
          <v:rect id="_x0000_i1058" style="width:0;height:1.5pt" o:hralign="center" o:hrstd="t" o:hr="t" fillcolor="#a0a0a0" stroked="f"/>
        </w:pict>
      </w:r>
    </w:p>
    <w:p w14:paraId="0471CE27" w14:textId="77777777" w:rsidR="00B37793" w:rsidRPr="00B37793" w:rsidRDefault="00B37793" w:rsidP="00B37793">
      <w:pPr>
        <w:rPr>
          <w:b/>
          <w:bCs/>
        </w:rPr>
      </w:pPr>
      <w:r w:rsidRPr="00B37793">
        <w:rPr>
          <w:b/>
          <w:bCs/>
        </w:rPr>
        <w:t>4. Conclusiones</w:t>
      </w:r>
    </w:p>
    <w:p w14:paraId="1CFE6EFC" w14:textId="77777777" w:rsidR="00B37793" w:rsidRPr="00B37793" w:rsidRDefault="00B37793" w:rsidP="00B37793">
      <w:pPr>
        <w:numPr>
          <w:ilvl w:val="0"/>
          <w:numId w:val="7"/>
        </w:numPr>
      </w:pPr>
      <w:r w:rsidRPr="00B37793">
        <w:rPr>
          <w:b/>
          <w:bCs/>
        </w:rPr>
        <w:t>Pobreza energética oculta como dimensión crítica</w:t>
      </w:r>
      <w:r w:rsidRPr="00B37793">
        <w:t>:</w:t>
      </w:r>
    </w:p>
    <w:p w14:paraId="67F47197" w14:textId="77777777" w:rsidR="00B37793" w:rsidRPr="00B37793" w:rsidRDefault="00B37793" w:rsidP="00B37793">
      <w:pPr>
        <w:numPr>
          <w:ilvl w:val="1"/>
          <w:numId w:val="7"/>
        </w:numPr>
      </w:pPr>
      <w:r w:rsidRPr="00B37793">
        <w:t>Más del 30% de los hogares en España no pudieron cubrir la mitad de su gasto energético necesario en 2021, y el 10% no alcanzó ni un cuarto. Esto evidencia que la pobreza energética oculta es una dimensión clave que necesita más atención.</w:t>
      </w:r>
    </w:p>
    <w:p w14:paraId="27B6A8F7" w14:textId="77777777" w:rsidR="00B37793" w:rsidRPr="00B37793" w:rsidRDefault="00B37793" w:rsidP="00B37793">
      <w:pPr>
        <w:numPr>
          <w:ilvl w:val="0"/>
          <w:numId w:val="7"/>
        </w:numPr>
      </w:pPr>
      <w:r w:rsidRPr="00B37793">
        <w:rPr>
          <w:b/>
          <w:bCs/>
        </w:rPr>
        <w:t>Desigualdades territoriales</w:t>
      </w:r>
      <w:r w:rsidRPr="00B37793">
        <w:t>:</w:t>
      </w:r>
    </w:p>
    <w:p w14:paraId="257CCFEB" w14:textId="77777777" w:rsidR="00B37793" w:rsidRPr="00B37793" w:rsidRDefault="00B37793" w:rsidP="00B37793">
      <w:pPr>
        <w:numPr>
          <w:ilvl w:val="1"/>
          <w:numId w:val="7"/>
        </w:numPr>
      </w:pPr>
      <w:r w:rsidRPr="00B37793">
        <w:t>La incidencia de la pobreza energética varía significativamente entre regiones. Por ejemplo, Andalucía tuvo los niveles más altos de pobreza energética extrema (19%), mientras que Canarias tuvo los más bajos (3.2%).</w:t>
      </w:r>
    </w:p>
    <w:p w14:paraId="40412916" w14:textId="77777777" w:rsidR="00B37793" w:rsidRPr="00B37793" w:rsidRDefault="00B37793" w:rsidP="00B37793">
      <w:pPr>
        <w:numPr>
          <w:ilvl w:val="0"/>
          <w:numId w:val="7"/>
        </w:numPr>
      </w:pPr>
      <w:r w:rsidRPr="00B37793">
        <w:rPr>
          <w:b/>
          <w:bCs/>
        </w:rPr>
        <w:t>Impacto de las políticas gubernamentales</w:t>
      </w:r>
      <w:r w:rsidRPr="00B37793">
        <w:t>:</w:t>
      </w:r>
    </w:p>
    <w:p w14:paraId="1ED20C1B" w14:textId="77777777" w:rsidR="00B37793" w:rsidRPr="00B37793" w:rsidRDefault="00B37793" w:rsidP="00B37793">
      <w:pPr>
        <w:numPr>
          <w:ilvl w:val="1"/>
          <w:numId w:val="7"/>
        </w:numPr>
      </w:pPr>
      <w:r w:rsidRPr="00B37793">
        <w:t>Las medidas para reducir las facturas eléctricas (reducción del IVA y otros impuestos) evitaron que la pobreza energética oculta afectara a 200,000 hogares adicionales.</w:t>
      </w:r>
    </w:p>
    <w:p w14:paraId="7B273CD9" w14:textId="77777777" w:rsidR="00B37793" w:rsidRPr="00B37793" w:rsidRDefault="00B37793" w:rsidP="00B37793">
      <w:pPr>
        <w:numPr>
          <w:ilvl w:val="0"/>
          <w:numId w:val="7"/>
        </w:numPr>
      </w:pPr>
      <w:r w:rsidRPr="00B37793">
        <w:rPr>
          <w:b/>
          <w:bCs/>
        </w:rPr>
        <w:t>Necesidad de umbrales absolutos</w:t>
      </w:r>
      <w:r w:rsidRPr="00B37793">
        <w:t>:</w:t>
      </w:r>
    </w:p>
    <w:p w14:paraId="2B565741" w14:textId="77777777" w:rsidR="00B37793" w:rsidRPr="00B37793" w:rsidRDefault="00B37793" w:rsidP="00B37793">
      <w:pPr>
        <w:numPr>
          <w:ilvl w:val="1"/>
          <w:numId w:val="7"/>
        </w:numPr>
      </w:pPr>
      <w:r w:rsidRPr="00B37793">
        <w:lastRenderedPageBreak/>
        <w:t>Indicadores como el HEP permiten evaluar mejor la pobreza energética que los enfoques relativos como M/2, especialmente durante crisis energéticas.</w:t>
      </w:r>
    </w:p>
    <w:p w14:paraId="2A5E2D5C" w14:textId="77777777" w:rsidR="00B37793" w:rsidRPr="00B37793" w:rsidRDefault="00B37793" w:rsidP="00B37793">
      <w:pPr>
        <w:numPr>
          <w:ilvl w:val="0"/>
          <w:numId w:val="7"/>
        </w:numPr>
      </w:pPr>
      <w:r w:rsidRPr="00B37793">
        <w:rPr>
          <w:b/>
          <w:bCs/>
        </w:rPr>
        <w:t>Lecciones para políticas públicas</w:t>
      </w:r>
      <w:r w:rsidRPr="00B37793">
        <w:t>:</w:t>
      </w:r>
    </w:p>
    <w:p w14:paraId="79FEE69A" w14:textId="77777777" w:rsidR="00B37793" w:rsidRPr="00B37793" w:rsidRDefault="00B37793" w:rsidP="00B37793">
      <w:pPr>
        <w:numPr>
          <w:ilvl w:val="1"/>
          <w:numId w:val="7"/>
        </w:numPr>
      </w:pPr>
      <w:r w:rsidRPr="00B37793">
        <w:t>Es urgente equilibrar el enfoque en el gasto desproporcionado con la pobreza energética oculta.</w:t>
      </w:r>
    </w:p>
    <w:p w14:paraId="42E1AD63" w14:textId="77777777" w:rsidR="00B37793" w:rsidRPr="00B37793" w:rsidRDefault="00B37793" w:rsidP="00B37793">
      <w:pPr>
        <w:numPr>
          <w:ilvl w:val="1"/>
          <w:numId w:val="7"/>
        </w:numPr>
      </w:pPr>
      <w:r w:rsidRPr="00B37793">
        <w:t>Las políticas deben adaptarse a las realidades locales y priorizar medidas específicas para regiones más afectadas.</w:t>
      </w:r>
    </w:p>
    <w:p w14:paraId="66C58A27" w14:textId="77777777" w:rsidR="00B37793" w:rsidRPr="00B37793" w:rsidRDefault="00B37793" w:rsidP="00B37793">
      <w:r w:rsidRPr="00B37793">
        <w:pict w14:anchorId="693E927F">
          <v:rect id="_x0000_i1059" style="width:0;height:1.5pt" o:hralign="center" o:hrstd="t" o:hr="t" fillcolor="#a0a0a0" stroked="f"/>
        </w:pict>
      </w:r>
    </w:p>
    <w:p w14:paraId="4351D62E" w14:textId="77777777" w:rsidR="00B37793" w:rsidRPr="00B37793" w:rsidRDefault="00B37793" w:rsidP="00B37793">
      <w:pPr>
        <w:rPr>
          <w:b/>
          <w:bCs/>
        </w:rPr>
      </w:pPr>
      <w:r w:rsidRPr="00B37793">
        <w:rPr>
          <w:b/>
          <w:bCs/>
        </w:rPr>
        <w:t>Conclusión final</w:t>
      </w:r>
    </w:p>
    <w:p w14:paraId="35927EA6" w14:textId="77777777" w:rsidR="00B37793" w:rsidRPr="00B37793" w:rsidRDefault="00B37793" w:rsidP="00B37793">
      <w:r w:rsidRPr="00B37793">
        <w:t>El año 2021 fue un período de contrastes en España: mientras que el número de hogares con gasto desproporcionado disminuyó ligeramente, el impacto de la crisis energética llevó a un aumento significativo de la pobreza energética oculta y extrema. Esto subraya la importancia de utilizar indicadores adecuados para identificar de manera precisa este problema urgente, especialmente en tiempos de crisis.</w:t>
      </w:r>
    </w:p>
    <w:p w14:paraId="4ACE91A8" w14:textId="77777777" w:rsidR="00C16D56" w:rsidRDefault="00C16D56"/>
    <w:sectPr w:rsidR="00C16D56" w:rsidSect="009200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754D8"/>
    <w:multiLevelType w:val="multilevel"/>
    <w:tmpl w:val="6128B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9600E"/>
    <w:multiLevelType w:val="multilevel"/>
    <w:tmpl w:val="A30EE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65094"/>
    <w:multiLevelType w:val="multilevel"/>
    <w:tmpl w:val="1BC26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F7752C"/>
    <w:multiLevelType w:val="multilevel"/>
    <w:tmpl w:val="B3BA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B479E"/>
    <w:multiLevelType w:val="multilevel"/>
    <w:tmpl w:val="6478D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B80CAB"/>
    <w:multiLevelType w:val="multilevel"/>
    <w:tmpl w:val="4E0A6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07768B"/>
    <w:multiLevelType w:val="multilevel"/>
    <w:tmpl w:val="F028B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8948037">
    <w:abstractNumId w:val="0"/>
  </w:num>
  <w:num w:numId="2" w16cid:durableId="880094354">
    <w:abstractNumId w:val="1"/>
  </w:num>
  <w:num w:numId="3" w16cid:durableId="487984694">
    <w:abstractNumId w:val="2"/>
  </w:num>
  <w:num w:numId="4" w16cid:durableId="1424450693">
    <w:abstractNumId w:val="3"/>
  </w:num>
  <w:num w:numId="5" w16cid:durableId="830220879">
    <w:abstractNumId w:val="6"/>
  </w:num>
  <w:num w:numId="6" w16cid:durableId="1344435180">
    <w:abstractNumId w:val="4"/>
  </w:num>
  <w:num w:numId="7" w16cid:durableId="764398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793"/>
    <w:rsid w:val="009200E1"/>
    <w:rsid w:val="009B2663"/>
    <w:rsid w:val="00B37793"/>
    <w:rsid w:val="00C16D5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03AE"/>
  <w15:chartTrackingRefBased/>
  <w15:docId w15:val="{81310AC4-DBBB-4393-AA57-BA2C4A9B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7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7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7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7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7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7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7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7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7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7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7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7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7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7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7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7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7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793"/>
    <w:rPr>
      <w:rFonts w:eastAsiaTheme="majorEastAsia" w:cstheme="majorBidi"/>
      <w:color w:val="272727" w:themeColor="text1" w:themeTint="D8"/>
    </w:rPr>
  </w:style>
  <w:style w:type="paragraph" w:styleId="Title">
    <w:name w:val="Title"/>
    <w:basedOn w:val="Normal"/>
    <w:next w:val="Normal"/>
    <w:link w:val="TitleChar"/>
    <w:uiPriority w:val="10"/>
    <w:qFormat/>
    <w:rsid w:val="00B377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7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7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7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793"/>
    <w:pPr>
      <w:spacing w:before="160"/>
      <w:jc w:val="center"/>
    </w:pPr>
    <w:rPr>
      <w:i/>
      <w:iCs/>
      <w:color w:val="404040" w:themeColor="text1" w:themeTint="BF"/>
    </w:rPr>
  </w:style>
  <w:style w:type="character" w:customStyle="1" w:styleId="QuoteChar">
    <w:name w:val="Quote Char"/>
    <w:basedOn w:val="DefaultParagraphFont"/>
    <w:link w:val="Quote"/>
    <w:uiPriority w:val="29"/>
    <w:rsid w:val="00B37793"/>
    <w:rPr>
      <w:i/>
      <w:iCs/>
      <w:color w:val="404040" w:themeColor="text1" w:themeTint="BF"/>
    </w:rPr>
  </w:style>
  <w:style w:type="paragraph" w:styleId="ListParagraph">
    <w:name w:val="List Paragraph"/>
    <w:basedOn w:val="Normal"/>
    <w:uiPriority w:val="34"/>
    <w:qFormat/>
    <w:rsid w:val="00B37793"/>
    <w:pPr>
      <w:ind w:left="720"/>
      <w:contextualSpacing/>
    </w:pPr>
  </w:style>
  <w:style w:type="character" w:styleId="IntenseEmphasis">
    <w:name w:val="Intense Emphasis"/>
    <w:basedOn w:val="DefaultParagraphFont"/>
    <w:uiPriority w:val="21"/>
    <w:qFormat/>
    <w:rsid w:val="00B37793"/>
    <w:rPr>
      <w:i/>
      <w:iCs/>
      <w:color w:val="0F4761" w:themeColor="accent1" w:themeShade="BF"/>
    </w:rPr>
  </w:style>
  <w:style w:type="paragraph" w:styleId="IntenseQuote">
    <w:name w:val="Intense Quote"/>
    <w:basedOn w:val="Normal"/>
    <w:next w:val="Normal"/>
    <w:link w:val="IntenseQuoteChar"/>
    <w:uiPriority w:val="30"/>
    <w:qFormat/>
    <w:rsid w:val="00B377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793"/>
    <w:rPr>
      <w:i/>
      <w:iCs/>
      <w:color w:val="0F4761" w:themeColor="accent1" w:themeShade="BF"/>
    </w:rPr>
  </w:style>
  <w:style w:type="character" w:styleId="IntenseReference">
    <w:name w:val="Intense Reference"/>
    <w:basedOn w:val="DefaultParagraphFont"/>
    <w:uiPriority w:val="32"/>
    <w:qFormat/>
    <w:rsid w:val="00B377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338096">
      <w:bodyDiv w:val="1"/>
      <w:marLeft w:val="0"/>
      <w:marRight w:val="0"/>
      <w:marTop w:val="0"/>
      <w:marBottom w:val="0"/>
      <w:divBdr>
        <w:top w:val="none" w:sz="0" w:space="0" w:color="auto"/>
        <w:left w:val="none" w:sz="0" w:space="0" w:color="auto"/>
        <w:bottom w:val="none" w:sz="0" w:space="0" w:color="auto"/>
        <w:right w:val="none" w:sz="0" w:space="0" w:color="auto"/>
      </w:divBdr>
    </w:div>
    <w:div w:id="181182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933</Words>
  <Characters>5323</Characters>
  <Application>Microsoft Office Word</Application>
  <DocSecurity>0</DocSecurity>
  <Lines>44</Lines>
  <Paragraphs>12</Paragraphs>
  <ScaleCrop>false</ScaleCrop>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Romero</dc:creator>
  <cp:keywords/>
  <dc:description/>
  <cp:lastModifiedBy>Indira Romero</cp:lastModifiedBy>
  <cp:revision>1</cp:revision>
  <dcterms:created xsi:type="dcterms:W3CDTF">2025-01-26T20:11:00Z</dcterms:created>
  <dcterms:modified xsi:type="dcterms:W3CDTF">2025-01-26T20:12:00Z</dcterms:modified>
</cp:coreProperties>
</file>