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 w:eastAsia="Arial"/>
          <w:b/>
          <w:color w:val="1F4D78"/>
          <w:sz w:val="36"/>
        </w:rPr>
        <w:t>Elevator Inspection Manual</w:t>
      </w:r>
    </w:p>
    <w:p>
      <w:r>
        <w:rPr>
          <w:rFonts w:ascii="Arial" w:hAnsi="Arial" w:eastAsia="Arial"/>
          <w:b w:val="0"/>
          <w:color w:val="5A636E"/>
          <w:sz w:val="18"/>
        </w:rPr>
        <w:t>Synthetic test fixture | A-FAC-001 | tenant=TENANT-A | revision=1 | visibility=ADMIN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Shutdown</w:t>
      </w:r>
    </w:p>
    <w:p>
      <w:r>
        <w:rPr>
          <w:rFonts w:ascii="Arial" w:hAnsi="Arial" w:eastAsia="Arial"/>
          <w:b w:val="0"/>
          <w:sz w:val="22"/>
        </w:rPr>
        <w:t>Stop operation and request vendor inspection when door obstruction repeats.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Prohibition</w:t>
      </w:r>
    </w:p>
    <w:p>
      <w:r>
        <w:rPr>
          <w:rFonts w:ascii="Arial" w:hAnsi="Arial" w:eastAsia="Arial"/>
          <w:b w:val="0"/>
          <w:sz w:val="22"/>
        </w:rPr>
        <w:t>Management staff must not bypass the door sensor.</w:t>
      </w:r>
    </w:p>
    <w:p>
      <w:pPr>
        <w:spacing w:before="280"/>
      </w:pPr>
      <w:r>
        <w:rPr>
          <w:rFonts w:ascii="Arial" w:hAnsi="Arial" w:eastAsia="Arial"/>
          <w:b w:val="0"/>
          <w:color w:val="9B1C1C"/>
          <w:sz w:val="18"/>
        </w:rPr>
        <w:t>Notice: This is a synthetic LIVIQ validation fixture and contains no real resident or property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Elevator Inspection Manual</dc:title>
  <dc:subject>LIVIQ synthetic RAG validation fixture</dc:subject>
  <dc:creator>LIVIQ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