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 w:eastAsia="Arial"/>
          <w:b/>
          <w:color w:val="1F4D78"/>
          <w:sz w:val="36"/>
        </w:rPr>
        <w:t>Bulky Waste Disposal Guide</w:t>
      </w:r>
    </w:p>
    <w:p>
      <w:r>
        <w:rPr>
          <w:rFonts w:ascii="Arial" w:hAnsi="Arial" w:eastAsia="Arial"/>
          <w:b w:val="0"/>
          <w:color w:val="5A636E"/>
          <w:sz w:val="18"/>
        </w:rPr>
        <w:t>Synthetic test fixture | A-GUIDE-003 | tenant=TENANT-A | revision=1 | visibility=ALL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Procedure</w:t>
      </w:r>
    </w:p>
    <w:p>
      <w:r>
        <w:rPr>
          <w:rFonts w:ascii="Arial" w:hAnsi="Arial" w:eastAsia="Arial"/>
          <w:b w:val="0"/>
          <w:sz w:val="22"/>
        </w:rPr>
        <w:t>Attach the district-issued disposal label before placing bulky waste in the designated area.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Time</w:t>
      </w:r>
    </w:p>
    <w:p>
      <w:r>
        <w:rPr>
          <w:rFonts w:ascii="Arial" w:hAnsi="Arial" w:eastAsia="Arial"/>
          <w:b w:val="0"/>
          <w:sz w:val="22"/>
        </w:rPr>
        <w:t>Disposal is permitted on Wednesdays from 18:00 to 21:00.</w:t>
      </w:r>
    </w:p>
    <w:p>
      <w:pPr>
        <w:spacing w:before="280"/>
      </w:pPr>
      <w:r>
        <w:rPr>
          <w:rFonts w:ascii="Arial" w:hAnsi="Arial" w:eastAsia="Arial"/>
          <w:b w:val="0"/>
          <w:color w:val="9B1C1C"/>
          <w:sz w:val="18"/>
        </w:rPr>
        <w:t>Notice: This is a synthetic LIVIQ validation fixture and contains no real resident or property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Bulky Waste Disposal Guide</dc:title>
  <dc:subject>LIVIQ synthetic RAG validation fixture</dc:subject>
  <dc:creator>LIVIQ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