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Resident Inquiry Workflow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A-INQ-001 | tenant=TENANT-A | revision=3 | visibility=ALL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Submission</w:t>
      </w:r>
    </w:p>
    <w:p>
      <w:r>
        <w:rPr>
          <w:rFonts w:ascii="Arial" w:hAnsi="Arial" w:eastAsia="Arial"/>
          <w:b w:val="0"/>
          <w:sz w:val="22"/>
        </w:rPr>
        <w:t>Residents select the category and enter the inquiry themselves; AI does not classify inquiries.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Completion</w:t>
      </w:r>
    </w:p>
    <w:p>
      <w:r>
        <w:rPr>
          <w:rFonts w:ascii="Arial" w:hAnsi="Arial" w:eastAsia="Arial"/>
          <w:b w:val="0"/>
          <w:sz w:val="22"/>
        </w:rPr>
        <w:t>An inquiry can be completed only after at least one staff response.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Reopen</w:t>
      </w:r>
    </w:p>
    <w:p>
      <w:r>
        <w:rPr>
          <w:rFonts w:ascii="Arial" w:hAnsi="Arial" w:eastAsia="Arial"/>
          <w:b w:val="0"/>
          <w:sz w:val="22"/>
        </w:rPr>
        <w:t>The author may reopen a completed inquiry.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 Inquiry Workflow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