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Parking and Waste Operations Policy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A-RULE-002 | tenant=TENANT-A | revision=3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Article 9</w:t>
      </w:r>
    </w:p>
    <w:p>
      <w:r>
        <w:rPr>
          <w:rFonts w:ascii="Arial" w:hAnsi="Arial" w:eastAsia="Arial"/>
          <w:b w:val="0"/>
          <w:sz w:val="22"/>
        </w:rPr>
        <w:t>Each household receives 60 free visitor-parking hours per month. Additional time costs KRW 1,000 per hour.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Article 14</w:t>
      </w:r>
    </w:p>
    <w:p>
      <w:r>
        <w:rPr>
          <w:rFonts w:ascii="Arial" w:hAnsi="Arial" w:eastAsia="Arial"/>
          <w:b w:val="0"/>
          <w:sz w:val="22"/>
        </w:rPr>
        <w:t>Recyclables may be placed outside on Tuesdays and Fridays from 18:00 to 22:00.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and Waste Operations Policy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