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Arial" w:hAnsi="Arial" w:eastAsia="Arial"/>
          <w:b/>
          <w:color w:val="1F4D78"/>
          <w:sz w:val="36"/>
        </w:rPr>
        <w:t>Green Village Management Rules</w:t>
      </w:r>
    </w:p>
    <w:p>
      <w:r>
        <w:rPr>
          <w:rFonts w:ascii="Arial" w:hAnsi="Arial" w:eastAsia="Arial"/>
          <w:b w:val="0"/>
          <w:color w:val="5A636E"/>
          <w:sz w:val="18"/>
        </w:rPr>
        <w:t>Synthetic test fixture | B-RULE-001 | tenant=TENANT-B | revision=1 | visibility=ALL</w:t>
      </w:r>
    </w:p>
    <w:p>
      <w:pPr>
        <w:spacing w:before="200" w:after="80"/>
      </w:pPr>
      <w:r>
        <w:rPr>
          <w:rFonts w:ascii="Arial" w:hAnsi="Arial" w:eastAsia="Arial"/>
          <w:b/>
          <w:color w:val="2E74B5"/>
          <w:sz w:val="26"/>
        </w:rPr>
        <w:t>Article 11</w:t>
      </w:r>
    </w:p>
    <w:p>
      <w:r>
        <w:rPr>
          <w:rFonts w:ascii="Arial" w:hAnsi="Arial" w:eastAsia="Arial"/>
          <w:b w:val="0"/>
          <w:sz w:val="22"/>
        </w:rPr>
        <w:t>Apartment renovation work is permitted on weekdays only, from 08:30 to 17:30.</w:t>
      </w:r>
    </w:p>
    <w:p>
      <w:pPr>
        <w:spacing w:before="280"/>
      </w:pPr>
      <w:r>
        <w:rPr>
          <w:rFonts w:ascii="Arial" w:hAnsi="Arial" w:eastAsia="Arial"/>
          <w:b w:val="0"/>
          <w:color w:val="9B1C1C"/>
          <w:sz w:val="18"/>
        </w:rPr>
        <w:t>Notice: This is a synthetic LIVIQ validation fixture and contains no real resident or property data.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 Village Management Rules</dc:title>
  <dc:subject>LIVIQ synthetic RAG validation fixture</dc:subject>
  <dc:creator>LIVIQ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