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Arial" w:hAnsi="Arial" w:eastAsia="Arial"/>
          <w:b/>
          <w:color w:val="1F4D78"/>
          <w:sz w:val="36"/>
        </w:rPr>
        <w:t>Green Village Privacy Notice</w:t>
      </w:r>
    </w:p>
    <w:p>
      <w:r>
        <w:rPr>
          <w:rFonts w:ascii="Arial" w:hAnsi="Arial" w:eastAsia="Arial"/>
          <w:b w:val="0"/>
          <w:color w:val="5A636E"/>
          <w:sz w:val="18"/>
        </w:rPr>
        <w:t>Synthetic test fixture | B-PRIV-001 | tenant=TENANT-B | revision=1 | visibility=ALL</w:t>
      </w:r>
    </w:p>
    <w:p>
      <w:pPr>
        <w:spacing w:before="200" w:after="80"/>
      </w:pPr>
      <w:r>
        <w:rPr>
          <w:rFonts w:ascii="Arial" w:hAnsi="Arial" w:eastAsia="Arial"/>
          <w:b/>
          <w:color w:val="2E74B5"/>
          <w:sz w:val="26"/>
        </w:rPr>
        <w:t>Isolation</w:t>
      </w:r>
    </w:p>
    <w:p>
      <w:r>
        <w:rPr>
          <w:rFonts w:ascii="Arial" w:hAnsi="Arial" w:eastAsia="Arial"/>
          <w:b w:val="0"/>
          <w:sz w:val="22"/>
        </w:rPr>
        <w:t>Green Village personal data and documents must not be disclosed to another tenant.</w:t>
      </w:r>
    </w:p>
    <w:p>
      <w:pPr>
        <w:spacing w:before="280"/>
      </w:pPr>
      <w:r>
        <w:rPr>
          <w:rFonts w:ascii="Arial" w:hAnsi="Arial" w:eastAsia="Arial"/>
          <w:b w:val="0"/>
          <w:color w:val="9B1C1C"/>
          <w:sz w:val="18"/>
        </w:rPr>
        <w:t>Notice: This is a synthetic LIVIQ validation fixture and contains no real resident or property data.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 Village Privacy Notice</dc:title>
  <dc:subject>LIVIQ synthetic RAG validation fixture</dc:subject>
  <dc:creator>LIVIQ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