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A8477"/>
          <w:sz w:val="16"/>
          <w:szCs w:val="16"/>
        </w:rPr>
        <w:t xml:space="preserve">RESEARCH NOTE — NOT AN OFFER OR SOLICITATION</w:t>
      </w:r>
    </w:p>
    <w:p>
      <w:pPr>
        <w:spacing w:after="200"/>
      </w:pPr>
      <w:r>
        <w:rPr>
          <w:b/>
          <w:bCs/>
          <w:color w:val="1B1B18"/>
          <w:sz w:val="36"/>
          <w:szCs w:val="36"/>
        </w:rPr>
        <w:t xml:space="preserve">Leveraged Finance Distress Simulator</w:t>
      </w:r>
    </w:p>
    <w:p>
      <w:pPr>
        <w:spacing w:after="40"/>
      </w:pPr>
      <w:r>
        <w:rPr>
          <w:b/>
          <w:bCs/>
          <w:sz w:val="20"/>
          <w:szCs w:val="20"/>
        </w:rPr>
        <w:t xml:space="preserve">To: </w:t>
      </w:r>
      <w:r>
        <w:rPr>
          <w:sz w:val="20"/>
          <w:szCs w:val="20"/>
        </w:rPr>
        <w:t xml:space="preserve">Illustrative Credit / Special Situations Committee</w:t>
      </w:r>
    </w:p>
    <w:p>
      <w:pPr>
        <w:spacing w:after="40"/>
      </w:pPr>
      <w:r>
        <w:rPr>
          <w:b/>
          <w:bCs/>
          <w:sz w:val="20"/>
          <w:szCs w:val="20"/>
        </w:rPr>
        <w:t xml:space="preserve">From: </w:t>
      </w:r>
      <w:r>
        <w:rPr>
          <w:sz w:val="20"/>
          <w:szCs w:val="20"/>
        </w:rPr>
        <w:t xml:space="preserve">Romi Shabtay White</w:t>
      </w:r>
    </w:p>
    <w:p>
      <w:pPr>
        <w:spacing w:after="40"/>
      </w:pPr>
      <w:r>
        <w:rPr>
          <w:b/>
          <w:bCs/>
          <w:sz w:val="20"/>
          <w:szCs w:val="20"/>
        </w:rPr>
        <w:t xml:space="preserve">Date: </w:t>
      </w:r>
      <w:r>
        <w:rPr>
          <w:sz w:val="20"/>
          <w:szCs w:val="20"/>
        </w:rPr>
        <w:t xml:space="preserve">September 29, 2026</w:t>
      </w:r>
    </w:p>
    <w:p>
      <w:pPr>
        <w:spacing w:after="40"/>
      </w:pPr>
      <w:r>
        <w:rPr>
          <w:b/>
          <w:bCs/>
          <w:sz w:val="20"/>
          <w:szCs w:val="20"/>
        </w:rPr>
        <w:t xml:space="preserve">Re: </w:t>
      </w:r>
      <w:r>
        <w:rPr>
          <w:sz w:val="20"/>
          <w:szCs w:val="20"/>
        </w:rPr>
        <w:t xml:space="preserve">Rate-cycle sensitivity and distress signals across six leveraged credits</w:t>
      </w:r>
    </w:p>
    <w:p>
      <w:pPr>
        <w:pBdr>
          <w:bottom w:val="single" w:color="999999" w:sz="6" w:space="1"/>
        </w:pBdr>
        <w:spacing w:after="200" w:before="60"/>
      </w:pPr>
      <w:r>
        <w:t xml:space="preserve"/>
      </w:r>
    </w:p>
    <w:p>
      <w:pPr>
        <w:pStyle w:val="Heading1"/>
        <w:spacing w:after="140" w:before="280"/>
      </w:pPr>
      <w:r>
        <w:rPr>
          <w:b/>
          <w:bCs/>
          <w:color w:val="1B1B18"/>
          <w:sz w:val="26"/>
          <w:szCs w:val="26"/>
        </w:rPr>
        <w:t xml:space="preserve">1. Purpose and Scope</w:t>
      </w:r>
    </w:p>
    <w:p>
      <w:pPr>
        <w:spacing w:after="160" w:line="300"/>
      </w:pPr>
      <w:r>
        <w:rPr>
          <w:b w:val="false"/>
          <w:bCs w:val="false"/>
          <w:i w:val="false"/>
          <w:iCs w:val="false"/>
          <w:sz w:val="21"/>
          <w:szCs w:val="21"/>
        </w:rPr>
        <w:t xml:space="preserve">This memo summarizes an independent research project analyzing how the 2020–2026 interest rate cycle affected leveraged corporate capital structures, and whether a simulated, mechanism-grounded risk signal predicts financial distress better than static credit ratios alone. It is a personal analytical exercise built to develop and demonstrate leveraged finance methodology — not a live investment recommendation, and not prepared on behalf of any fund or institution.</w:t>
      </w:r>
    </w:p>
    <w:p>
      <w:pPr>
        <w:spacing w:after="160" w:line="300"/>
      </w:pPr>
      <w:r>
        <w:rPr>
          <w:b w:val="false"/>
          <w:bCs w:val="false"/>
          <w:i w:val="false"/>
          <w:iCs w:val="false"/>
          <w:sz w:val="21"/>
          <w:szCs w:val="21"/>
        </w:rPr>
        <w:t xml:space="preserve">Six companies were modeled in full: Diebold Nixdorf (DBD), Bausch Health (BHC), Community Health Systems (CYH), and Party City (PRTYQ), extended later to Charter Communications (CHTR) and American Airlines (AAL). A broader cross-sectional dataset of 28 companies (14 with complete, usable data) was separately built to test a real distress classifier.</w:t>
      </w:r>
    </w:p>
    <w:p>
      <w:pPr>
        <w:pStyle w:val="Heading1"/>
        <w:spacing w:after="140" w:before="280"/>
      </w:pPr>
      <w:r>
        <w:rPr>
          <w:b/>
          <w:bCs/>
          <w:color w:val="1B1B18"/>
          <w:sz w:val="26"/>
          <w:szCs w:val="26"/>
        </w:rPr>
        <w:t xml:space="preserve">2. Methodology</w:t>
      </w:r>
    </w:p>
    <w:p>
      <w:pPr>
        <w:pStyle w:val="ListParagraph"/>
        <w:numPr>
          <w:ilvl w:val="0"/>
          <w:numId w:val="1"/>
        </w:numPr>
        <w:spacing w:after="90" w:line="290"/>
      </w:pPr>
      <w:r>
        <w:rPr>
          <w:sz w:val="21"/>
          <w:szCs w:val="21"/>
        </w:rPr>
        <w:t xml:space="preserve">Capital structures sourced directly from SEC EDGAR filings (10-Ks, 10-Qs, and credit agreement amendments) — real disclosed spreads, floors, balances, and maturities, not assumed figures.</w:t>
      </w:r>
    </w:p>
    <w:p>
      <w:pPr>
        <w:pStyle w:val="ListParagraph"/>
        <w:numPr>
          <w:ilvl w:val="0"/>
          <w:numId w:val="1"/>
        </w:numPr>
        <w:spacing w:after="90" w:line="290"/>
      </w:pPr>
      <w:r>
        <w:rPr>
          <w:sz w:val="21"/>
          <w:szCs w:val="21"/>
        </w:rPr>
        <w:t xml:space="preserve">SOFR and credit spread history pulled from FRED; a mean-reverting rate model (Ornstein-Uhlenbeck style) calibrated directly from that real historical data via linear regression, then used to simulate 500 two-year-ahead rate paths per company.</w:t>
      </w:r>
    </w:p>
    <w:p>
      <w:pPr>
        <w:pStyle w:val="ListParagraph"/>
        <w:numPr>
          <w:ilvl w:val="0"/>
          <w:numId w:val="1"/>
        </w:numPr>
        <w:spacing w:after="90" w:line="290"/>
      </w:pPr>
      <w:r>
        <w:rPr>
          <w:sz w:val="21"/>
          <w:szCs w:val="21"/>
        </w:rPr>
        <w:t xml:space="preserve">An interest, EBITDA, leverage, and covenant-testing engine built from first principles, including Adjusted EBITDA add-backs for one-time non-cash impairment charges.</w:t>
      </w:r>
    </w:p>
    <w:p>
      <w:pPr>
        <w:pStyle w:val="ListParagraph"/>
        <w:numPr>
          <w:ilvl w:val="0"/>
          <w:numId w:val="1"/>
        </w:numPr>
        <w:spacing w:after="90" w:line="290"/>
      </w:pPr>
      <w:r>
        <w:rPr>
          <w:sz w:val="21"/>
          <w:szCs w:val="21"/>
        </w:rPr>
        <w:t xml:space="preserve">For companies with capital structures too complex to catalogue tranche-by-tranche (Charter, American Airlines), a decomposition approach: the real disclosed floating tranche modeled exactly, with a blended fixed rate for the remainder algebraically derived to reproduce the company's actual real total interest expense.</w:t>
      </w:r>
    </w:p>
    <w:p>
      <w:pPr>
        <w:pStyle w:val="ListParagraph"/>
        <w:numPr>
          <w:ilvl w:val="0"/>
          <w:numId w:val="1"/>
        </w:numPr>
        <w:spacing w:after="90" w:line="290"/>
      </w:pPr>
      <w:r>
        <w:rPr>
          <w:sz w:val="21"/>
          <w:szCs w:val="21"/>
        </w:rPr>
        <w:t xml:space="preserve">A logistic regression distress classifier evaluated via Leave-One-Out Cross-Validation and a 2,000-iteration permutation test — the statistically appropriate techniques at this sample size.</w:t>
      </w:r>
    </w:p>
    <w:p>
      <w:pPr>
        <w:pStyle w:val="Heading1"/>
        <w:spacing w:after="140" w:before="280"/>
      </w:pPr>
      <w:r>
        <w:rPr>
          <w:b/>
          <w:bCs/>
          <w:color w:val="1B1B18"/>
          <w:sz w:val="26"/>
          <w:szCs w:val="26"/>
        </w:rPr>
        <w:t xml:space="preserve">3. Company Summary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300"/>
        <w:gridCol w:w="1300"/>
        <w:gridCol w:w="1600"/>
        <w:gridCol w:w="3500"/>
      </w:tblGrid>
      <w:tr>
        <w:trPr>
          <w:cantSplit/>
        </w:trPr>
        <w:tc>
          <w:tcPr>
            <w:tcW w:type="dxa" w:w="1300"/>
            <w:tcBorders>
              <w:top w:val="single" w:color="999999" w:sz="4"/>
              <w:left w:val="single" w:color="999999" w:sz="4"/>
              <w:bottom w:val="single" w:color="999999" w:sz="4"/>
              <w:right w:val="single" w:color="999999" w:sz="4"/>
            </w:tcBorders>
            <w:shd w:fill="1B1B18" w:val="clear"/>
          </w:tcPr>
          <w:p>
            <w:r>
              <w:rPr>
                <w:b/>
                <w:bCs/>
                <w:color w:val="FFFFFF"/>
                <w:sz w:val="18"/>
                <w:szCs w:val="18"/>
              </w:rPr>
              <w:t xml:space="preserve">Ticker</w:t>
            </w:r>
          </w:p>
        </w:tc>
        <w:tc>
          <w:tcPr>
            <w:tcW w:type="dxa" w:w="1600"/>
            <w:tcBorders>
              <w:top w:val="single" w:color="999999" w:sz="4"/>
              <w:left w:val="single" w:color="999999" w:sz="4"/>
              <w:bottom w:val="single" w:color="999999" w:sz="4"/>
              <w:right w:val="single" w:color="999999" w:sz="4"/>
            </w:tcBorders>
            <w:shd w:fill="1B1B18" w:val="clear"/>
          </w:tcPr>
          <w:p>
            <w:r>
              <w:rPr>
                <w:b/>
                <w:bCs/>
                <w:color w:val="FFFFFF"/>
                <w:sz w:val="18"/>
                <w:szCs w:val="18"/>
              </w:rPr>
              <w:t xml:space="preserve">Status</w:t>
            </w:r>
          </w:p>
        </w:tc>
        <w:tc>
          <w:tcPr>
            <w:tcW w:type="dxa" w:w="1300"/>
            <w:tcBorders>
              <w:top w:val="single" w:color="999999" w:sz="4"/>
              <w:left w:val="single" w:color="999999" w:sz="4"/>
              <w:bottom w:val="single" w:color="999999" w:sz="4"/>
              <w:right w:val="single" w:color="999999" w:sz="4"/>
            </w:tcBorders>
            <w:shd w:fill="1B1B18" w:val="clear"/>
          </w:tcPr>
          <w:p>
            <w:r>
              <w:rPr>
                <w:b/>
                <w:bCs/>
                <w:color w:val="FFFFFF"/>
                <w:sz w:val="18"/>
                <w:szCs w:val="18"/>
              </w:rPr>
              <w:t xml:space="preserve">Leverage</w:t>
            </w:r>
          </w:p>
        </w:tc>
        <w:tc>
          <w:tcPr>
            <w:tcW w:type="dxa" w:w="1300"/>
            <w:tcBorders>
              <w:top w:val="single" w:color="999999" w:sz="4"/>
              <w:left w:val="single" w:color="999999" w:sz="4"/>
              <w:bottom w:val="single" w:color="999999" w:sz="4"/>
              <w:right w:val="single" w:color="999999" w:sz="4"/>
            </w:tcBorders>
            <w:shd w:fill="1B1B18" w:val="clear"/>
          </w:tcPr>
          <w:p>
            <w:r>
              <w:rPr>
                <w:b/>
                <w:bCs/>
                <w:color w:val="FFFFFF"/>
                <w:sz w:val="18"/>
                <w:szCs w:val="18"/>
              </w:rPr>
              <w:t xml:space="preserve">Coverage</w:t>
            </w:r>
          </w:p>
        </w:tc>
        <w:tc>
          <w:tcPr>
            <w:tcW w:type="dxa" w:w="1600"/>
            <w:tcBorders>
              <w:top w:val="single" w:color="999999" w:sz="4"/>
              <w:left w:val="single" w:color="999999" w:sz="4"/>
              <w:bottom w:val="single" w:color="999999" w:sz="4"/>
              <w:right w:val="single" w:color="999999" w:sz="4"/>
            </w:tcBorders>
            <w:shd w:fill="1B1B18" w:val="clear"/>
          </w:tcPr>
          <w:p>
            <w:r>
              <w:rPr>
                <w:b/>
                <w:bCs/>
                <w:color w:val="FFFFFF"/>
                <w:sz w:val="18"/>
                <w:szCs w:val="18"/>
              </w:rPr>
              <w:t xml:space="preserve">Breach Prob.</w:t>
            </w:r>
          </w:p>
        </w:tc>
        <w:tc>
          <w:tcPr>
            <w:tcW w:type="dxa" w:w="3500"/>
            <w:tcBorders>
              <w:top w:val="single" w:color="999999" w:sz="4"/>
              <w:left w:val="single" w:color="999999" w:sz="4"/>
              <w:bottom w:val="single" w:color="999999" w:sz="4"/>
              <w:right w:val="single" w:color="999999" w:sz="4"/>
            </w:tcBorders>
            <w:shd w:fill="1B1B18" w:val="clear"/>
          </w:tcPr>
          <w:p>
            <w:r>
              <w:rPr>
                <w:b/>
                <w:bCs/>
                <w:color w:val="FFFFFF"/>
                <w:sz w:val="18"/>
                <w:szCs w:val="18"/>
              </w:rPr>
              <w:t xml:space="preserve">One-line thesis</w:t>
            </w:r>
          </w:p>
        </w:tc>
      </w:tr>
      <w:tr>
        <w:trPr>
          <w:cantSplit/>
        </w:trPr>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DBD</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Distressed (2023), survived</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3.38x</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2.60x</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0.8%</w:t>
            </w:r>
          </w:p>
        </w:tc>
        <w:tc>
          <w:tcPr>
            <w:tcW w:type="dxa" w:w="3500"/>
            <w:tcBorders>
              <w:top w:val="single" w:color="999999" w:sz="4"/>
              <w:left w:val="single" w:color="999999" w:sz="4"/>
              <w:bottom w:val="single" w:color="999999" w:sz="4"/>
              <w:right w:val="single" w:color="999999" w:sz="4"/>
            </w:tcBorders>
          </w:tcPr>
          <w:p>
            <w:r>
              <w:rPr>
                <w:b w:val="false"/>
                <w:bCs w:val="false"/>
                <w:color w:val="000000"/>
                <w:sz w:val="18"/>
                <w:szCs w:val="18"/>
              </w:rPr>
              <w:t xml:space="preserve">Covenant-lite post-restructuring; real cost cut, not just relief.</w:t>
            </w:r>
          </w:p>
        </w:tc>
      </w:tr>
      <w:tr>
        <w:trPr>
          <w:cantSplit/>
        </w:trPr>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BHC</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Levered, not distressed</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3.00x</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3.50x</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0.0%</w:t>
            </w:r>
          </w:p>
        </w:tc>
        <w:tc>
          <w:tcPr>
            <w:tcW w:type="dxa" w:w="3500"/>
            <w:tcBorders>
              <w:top w:val="single" w:color="999999" w:sz="4"/>
              <w:left w:val="single" w:color="999999" w:sz="4"/>
              <w:bottom w:val="single" w:color="999999" w:sz="4"/>
              <w:right w:val="single" w:color="999999" w:sz="4"/>
            </w:tcBorders>
          </w:tcPr>
          <w:p>
            <w:r>
              <w:rPr>
                <w:b w:val="false"/>
                <w:bCs w:val="false"/>
                <w:color w:val="000000"/>
                <w:sz w:val="18"/>
                <w:szCs w:val="18"/>
              </w:rPr>
              <w:t xml:space="preserve">Priciest floating spread in the set, but real cushion to absorb it.</w:t>
            </w:r>
          </w:p>
        </w:tc>
      </w:tr>
      <w:tr>
        <w:trPr>
          <w:cantSplit/>
        </w:trPr>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CYH</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Levered, not distressed*</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1.57x*</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6.92x</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0.0%</w:t>
            </w:r>
          </w:p>
        </w:tc>
        <w:tc>
          <w:tcPr>
            <w:tcW w:type="dxa" w:w="3500"/>
            <w:tcBorders>
              <w:top w:val="single" w:color="999999" w:sz="4"/>
              <w:left w:val="single" w:color="999999" w:sz="4"/>
              <w:bottom w:val="single" w:color="999999" w:sz="4"/>
              <w:right w:val="single" w:color="999999" w:sz="4"/>
            </w:tcBorders>
          </w:tcPr>
          <w:p>
            <w:r>
              <w:rPr>
                <w:b w:val="false"/>
                <w:bCs w:val="false"/>
                <w:color w:val="000000"/>
                <w:sz w:val="18"/>
                <w:szCs w:val="18"/>
              </w:rPr>
              <w:t xml:space="preserve">Low floating spread makes it structurally rate-insensitive.</w:t>
            </w:r>
          </w:p>
        </w:tc>
      </w:tr>
      <w:tr>
        <w:trPr>
          <w:cantSplit/>
        </w:trPr>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PRTYQ</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Distressed, liquidated</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11.48x</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1.00x</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100.0%</w:t>
            </w:r>
          </w:p>
        </w:tc>
        <w:tc>
          <w:tcPr>
            <w:tcW w:type="dxa" w:w="3500"/>
            <w:tcBorders>
              <w:top w:val="single" w:color="999999" w:sz="4"/>
              <w:left w:val="single" w:color="999999" w:sz="4"/>
              <w:bottom w:val="single" w:color="999999" w:sz="4"/>
              <w:right w:val="single" w:color="999999" w:sz="4"/>
            </w:tcBorders>
          </w:tcPr>
          <w:p>
            <w:r>
              <w:rPr>
                <w:b w:val="false"/>
                <w:bCs w:val="false"/>
                <w:color w:val="000000"/>
                <w:sz w:val="18"/>
                <w:szCs w:val="18"/>
              </w:rPr>
              <w:t xml:space="preserve">Fixed-rate only - collapse was demand-driven, not rate-driven.</w:t>
            </w:r>
          </w:p>
        </w:tc>
      </w:tr>
      <w:tr>
        <w:trPr>
          <w:cantSplit/>
        </w:trPr>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CHTR</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Levered, not distressed</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4.36x</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4.18x</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0.0%</w:t>
            </w:r>
          </w:p>
        </w:tc>
        <w:tc>
          <w:tcPr>
            <w:tcW w:type="dxa" w:w="3500"/>
            <w:tcBorders>
              <w:top w:val="single" w:color="999999" w:sz="4"/>
              <w:left w:val="single" w:color="999999" w:sz="4"/>
              <w:bottom w:val="single" w:color="999999" w:sz="4"/>
              <w:right w:val="single" w:color="999999" w:sz="4"/>
            </w:tcBorders>
          </w:tcPr>
          <w:p>
            <w:r>
              <w:rPr>
                <w:b w:val="false"/>
                <w:bCs w:val="false"/>
                <w:color w:val="000000"/>
                <w:sz w:val="18"/>
                <w:szCs w:val="18"/>
              </w:rPr>
              <w:t xml:space="preserve">Mostly fixed-rate; floating slice is a small share of $94.8B total debt.</w:t>
            </w:r>
          </w:p>
        </w:tc>
      </w:tr>
      <w:tr>
        <w:trPr>
          <w:cantSplit/>
        </w:trPr>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AAL</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Levered, not distressed</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7.71x</w:t>
            </w:r>
          </w:p>
        </w:tc>
        <w:tc>
          <w:tcPr>
            <w:tcW w:type="dxa" w:w="1300"/>
            <w:tcBorders>
              <w:top w:val="single" w:color="999999" w:sz="4"/>
              <w:left w:val="single" w:color="999999" w:sz="4"/>
              <w:bottom w:val="single" w:color="999999" w:sz="4"/>
              <w:right w:val="single" w:color="999999" w:sz="4"/>
            </w:tcBorders>
          </w:tcPr>
          <w:p>
            <w:r>
              <w:rPr>
                <w:b w:val="false"/>
                <w:bCs w:val="false"/>
                <w:color w:val="000000"/>
                <w:sz w:val="18"/>
                <w:szCs w:val="18"/>
              </w:rPr>
              <w:t xml:space="preserve">1.71x</w:t>
            </w:r>
          </w:p>
        </w:tc>
        <w:tc>
          <w:tcPr>
            <w:tcW w:type="dxa" w:w="1600"/>
            <w:tcBorders>
              <w:top w:val="single" w:color="999999" w:sz="4"/>
              <w:left w:val="single" w:color="999999" w:sz="4"/>
              <w:bottom w:val="single" w:color="999999" w:sz="4"/>
              <w:right w:val="single" w:color="999999" w:sz="4"/>
            </w:tcBorders>
          </w:tcPr>
          <w:p>
            <w:r>
              <w:rPr>
                <w:b w:val="false"/>
                <w:bCs w:val="false"/>
                <w:color w:val="000000"/>
                <w:sz w:val="18"/>
                <w:szCs w:val="18"/>
              </w:rPr>
              <w:t xml:space="preserve">100.0%†</w:t>
            </w:r>
          </w:p>
        </w:tc>
        <w:tc>
          <w:tcPr>
            <w:tcW w:type="dxa" w:w="3500"/>
            <w:tcBorders>
              <w:top w:val="single" w:color="999999" w:sz="4"/>
              <w:left w:val="single" w:color="999999" w:sz="4"/>
              <w:bottom w:val="single" w:color="999999" w:sz="4"/>
              <w:right w:val="single" w:color="999999" w:sz="4"/>
            </w:tcBorders>
          </w:tcPr>
          <w:p>
            <w:r>
              <w:rPr>
                <w:b w:val="false"/>
                <w:bCs w:val="false"/>
                <w:color w:val="000000"/>
                <w:sz w:val="18"/>
                <w:szCs w:val="18"/>
              </w:rPr>
              <w:t xml:space="preserve">Generic 2.0x threshold misapplied to airline covenant conventions.</w:t>
            </w:r>
          </w:p>
        </w:tc>
      </w:tr>
    </w:tbl>
    <w:p>
      <w:pPr>
        <w:spacing w:after="160" w:line="300"/>
      </w:pPr>
      <w:r>
        <w:rPr>
          <w:b w:val="false"/>
          <w:bCs w:val="false"/>
          <w:i/>
          <w:iCs/>
          <w:sz w:val="21"/>
          <w:szCs w:val="21"/>
        </w:rPr>
        <w:t xml:space="preserve">*CYH's leverage reflects a partial tranche subset in the deep-research dataset (real total debt is closer to $11.4B); the standardized cross-sectional dataset does not have this limitation. †At a peer-airline-appropriate 1.20x threshold (Delta's actual disclosed covenant), AAL's breach probability falls to 0% — see Section 5.</w:t>
      </w:r>
    </w:p>
    <w:p>
      <w:pPr>
        <w:pStyle w:val="Heading1"/>
        <w:spacing w:after="140" w:before="280"/>
      </w:pPr>
      <w:r>
        <w:rPr>
          <w:b/>
          <w:bCs/>
          <w:color w:val="1B1B18"/>
          <w:sz w:val="26"/>
          <w:szCs w:val="26"/>
        </w:rPr>
        <w:t xml:space="preserve">4. Key Findings</w:t>
      </w:r>
    </w:p>
    <w:p>
      <w:pPr>
        <w:spacing w:after="160" w:line="300"/>
      </w:pPr>
      <w:r>
        <w:rPr>
          <w:b/>
          <w:bCs/>
          <w:i w:val="false"/>
          <w:iCs w:val="false"/>
          <w:sz w:val="21"/>
          <w:szCs w:val="21"/>
        </w:rPr>
        <w:t xml:space="preserve">Rate sensitivity is structurally company-specific.</w:t>
      </w:r>
    </w:p>
    <w:p>
      <w:pPr>
        <w:spacing w:after="160" w:line="300"/>
      </w:pPr>
      <w:r>
        <w:rPr>
          <w:b w:val="false"/>
          <w:bCs w:val="false"/>
          <w:i w:val="false"/>
          <w:iCs w:val="false"/>
          <w:sz w:val="21"/>
          <w:szCs w:val="21"/>
        </w:rPr>
        <w:t xml:space="preserve">Diebold's 750bps spread on its entire $1.25B facility makes it the most rate-sensitive of the surviving companies; Charter and Bausch Health's lower blended spreads make them comparatively insulated despite carrying more absolute debt. This is not proportional to leverage alone — it is a direct function of each company's own disclosed cost of debt.</w:t>
      </w:r>
    </w:p>
    <w:p>
      <w:pPr>
        <w:spacing w:after="160" w:line="300"/>
      </w:pPr>
      <w:r>
        <w:rPr>
          <w:b/>
          <w:bCs/>
          <w:i w:val="false"/>
          <w:iCs w:val="false"/>
          <w:sz w:val="21"/>
          <w:szCs w:val="21"/>
        </w:rPr>
        <w:t xml:space="preserve">Static ratios and historical labels can genuinely disagree.</w:t>
      </w:r>
    </w:p>
    <w:p>
      <w:pPr>
        <w:spacing w:after="160" w:line="300"/>
      </w:pPr>
      <w:r>
        <w:rPr>
          <w:b w:val="false"/>
          <w:bCs w:val="false"/>
          <w:i w:val="false"/>
          <w:iCs w:val="false"/>
          <w:sz w:val="21"/>
          <w:szCs w:val="21"/>
        </w:rPr>
        <w:t xml:space="preserve">Diebold's current leverage and coverage ratios look healthy — because its 2023 restructuring worked. A classifier trained to predict a historical 'distressed' label from today's recovered ratios is answering a different question than it appears to be asking. This is a structural limitation of point-in-time ratios against historical outcomes, not a modeling error.</w:t>
      </w:r>
    </w:p>
    <w:p>
      <w:pPr>
        <w:spacing w:after="160" w:line="300"/>
      </w:pPr>
      <w:r>
        <w:rPr>
          <w:b/>
          <w:bCs/>
          <w:i w:val="false"/>
          <w:iCs w:val="false"/>
          <w:sz w:val="21"/>
          <w:szCs w:val="21"/>
        </w:rPr>
        <w:t xml:space="preserve">A single distress threshold does not transfer across sectors.</w:t>
      </w:r>
    </w:p>
    <w:p>
      <w:pPr>
        <w:spacing w:after="160" w:line="300"/>
      </w:pPr>
      <w:r>
        <w:rPr>
          <w:b w:val="false"/>
          <w:bCs w:val="false"/>
          <w:i w:val="false"/>
          <w:iCs w:val="false"/>
          <w:sz w:val="21"/>
          <w:szCs w:val="21"/>
        </w:rPr>
        <w:t xml:space="preserve">American Airlines showed a 100% simulated breach probability at a generic 2.0x interest coverage threshold, despite never having defaulted. Its real coverage was already below that level today, before any rate stress. Airlines commonly operate, and successfully finance themselves, at structurally lower coverage levels — Delta's own disclosed covenant uses a 1.20x minimum Fixed Charge Coverage Ratio. Retesting AAL's stored simulation results at that real benchmark dropped its breach probability to 0%, correctly matching its actual status. AAL's own covenants are in fact structured around loan-to-value and liquidity, not interest coverage at all — a residual limitation stated here rather than smoothed over.</w:t>
      </w:r>
    </w:p>
    <w:p>
      <w:pPr>
        <w:spacing w:after="160" w:line="300"/>
      </w:pPr>
      <w:r>
        <w:rPr>
          <w:b/>
          <w:bCs/>
          <w:i w:val="false"/>
          <w:iCs w:val="false"/>
          <w:sz w:val="21"/>
          <w:szCs w:val="21"/>
        </w:rPr>
        <w:t xml:space="preserve">Small-sample classifiers demand honest statistical validation.</w:t>
      </w:r>
    </w:p>
    <w:p>
      <w:pPr>
        <w:spacing w:after="160" w:line="300"/>
      </w:pPr>
      <w:r>
        <w:rPr>
          <w:b w:val="false"/>
          <w:bCs w:val="false"/>
          <w:i w:val="false"/>
          <w:iCs w:val="false"/>
          <w:sz w:val="21"/>
          <w:szCs w:val="21"/>
        </w:rPr>
        <w:t xml:space="preserve">A classifier trained on 14 labeled companies scored 64.3% accuracy under Leave-One-Out Cross-Validation — identical to always guessing the majority class. A permutation test confirmed the result is not statistically distinguishable from chance (p=0.278). Its AUC of 0.422, below the 0.5 no-skill line, was driven by a genuine small-sample extrapolation failure on the dataset's most extreme leverage value (Party City, at 20.55x). This is reported as a finding, not hidden as a shortfall.</w:t>
      </w:r>
    </w:p>
    <w:p>
      <w:pPr>
        <w:spacing w:after="160" w:line="300"/>
      </w:pPr>
      <w:r>
        <w:rPr>
          <w:b/>
          <w:bCs/>
          <w:i w:val="false"/>
          <w:iCs w:val="false"/>
          <w:sz w:val="21"/>
          <w:szCs w:val="21"/>
        </w:rPr>
        <w:t xml:space="preserve">The clearest single result was Party City's.</w:t>
      </w:r>
    </w:p>
    <w:p>
      <w:pPr>
        <w:spacing w:after="160" w:line="300"/>
      </w:pPr>
      <w:r>
        <w:rPr>
          <w:b w:val="false"/>
          <w:bCs w:val="false"/>
          <w:i w:val="false"/>
          <w:iCs w:val="false"/>
          <w:sz w:val="21"/>
          <w:szCs w:val="21"/>
        </w:rPr>
        <w:t xml:space="preserve">Its simulated interest coverage ratio sat at almost exactly 1.00x in every one of 500 simulated futures — a mechanism-grounded signal, not a coincidence — computed weeks before its actual final Chapter 11 filing and liquidation.</w:t>
      </w:r>
    </w:p>
    <w:p>
      <w:pPr>
        <w:pStyle w:val="Heading1"/>
        <w:spacing w:after="140" w:before="280"/>
      </w:pPr>
      <w:r>
        <w:rPr>
          <w:b/>
          <w:bCs/>
          <w:color w:val="1B1B18"/>
          <w:sz w:val="26"/>
          <w:szCs w:val="26"/>
        </w:rPr>
        <w:t xml:space="preserve">5. Limitations</w:t>
      </w:r>
    </w:p>
    <w:p>
      <w:pPr>
        <w:pStyle w:val="ListParagraph"/>
        <w:numPr>
          <w:ilvl w:val="0"/>
          <w:numId w:val="1"/>
        </w:numPr>
        <w:spacing w:after="90" w:line="290"/>
      </w:pPr>
      <w:r>
        <w:rPr>
          <w:sz w:val="21"/>
          <w:szCs w:val="21"/>
        </w:rPr>
        <w:t xml:space="preserve">The n=14 real-world classifier's result is not statistically significant; treat it as a methodologically sound but low-confidence result, not a validated production model.</w:t>
      </w:r>
    </w:p>
    <w:p>
      <w:pPr>
        <w:pStyle w:val="ListParagraph"/>
        <w:numPr>
          <w:ilvl w:val="0"/>
          <w:numId w:val="1"/>
        </w:numPr>
        <w:spacing w:after="90" w:line="290"/>
      </w:pPr>
      <w:r>
        <w:rPr>
          <w:sz w:val="21"/>
          <w:szCs w:val="21"/>
        </w:rPr>
        <w:t xml:space="preserve">The simulated breach-probability feature — the project's core differentiator — exists only for the 6 deep-research companies; extending it further requires the same tranche-level manual research.</w:t>
      </w:r>
    </w:p>
    <w:p>
      <w:pPr>
        <w:pStyle w:val="ListParagraph"/>
        <w:numPr>
          <w:ilvl w:val="0"/>
          <w:numId w:val="1"/>
        </w:numPr>
        <w:spacing w:after="90" w:line="290"/>
      </w:pPr>
      <w:r>
        <w:rPr>
          <w:sz w:val="21"/>
          <w:szCs w:val="21"/>
        </w:rPr>
        <w:t xml:space="preserve">Distress thresholds were not calibrated by sector beyond the single AAL/Delta test in Section 4; a fuller treatment would calibrate thresholds per industry before drawing cross-sector conclusions.</w:t>
      </w:r>
    </w:p>
    <w:p>
      <w:pPr>
        <w:pStyle w:val="ListParagraph"/>
        <w:numPr>
          <w:ilvl w:val="0"/>
          <w:numId w:val="1"/>
        </w:numPr>
        <w:spacing w:after="90" w:line="290"/>
      </w:pPr>
      <w:r>
        <w:rPr>
          <w:sz w:val="21"/>
          <w:szCs w:val="21"/>
        </w:rPr>
        <w:t xml:space="preserve">Several genuinely distressed companies (WeWork, Rite Aid, Big Lots, Joann, Avaya) were excluded from the broader classifier dataset due to real negative EBITDA in their bankruptcy year — a true signal the leverage/coverage framework cannot represent as a finite multiple, not a data gap.</w:t>
      </w:r>
    </w:p>
    <w:p>
      <w:pPr>
        <w:pStyle w:val="Heading1"/>
        <w:spacing w:after="140" w:before="280"/>
      </w:pPr>
      <w:r>
        <w:rPr>
          <w:b/>
          <w:bCs/>
          <w:color w:val="1B1B18"/>
          <w:sz w:val="26"/>
          <w:szCs w:val="26"/>
        </w:rPr>
        <w:t xml:space="preserve">6. Conclusion</w:t>
      </w:r>
    </w:p>
    <w:p>
      <w:pPr>
        <w:spacing w:after="160" w:line="300"/>
      </w:pPr>
      <w:r>
        <w:rPr>
          <w:b w:val="false"/>
          <w:bCs w:val="false"/>
          <w:i w:val="false"/>
          <w:iCs w:val="false"/>
          <w:sz w:val="21"/>
          <w:szCs w:val="21"/>
        </w:rPr>
        <w:t xml:space="preserve">This project's central claim is narrow and, I believe, well-supported: a simulated, mechanism-grounded stress signal — built from a company's real disclosed debt terms and a rate model calibrated to real history — produces more specific and more defensible risk signals than a static leverage or coverage ratio alone, particularly for capital structures with genuine floating-rate exposure. Its limits are equally real: small labeled samples, sector-specific threshold calibration, and the manual research cost of extending tranche-level detail to more companies. Both the claim and its limits are stated here as found, not adjusted to look stronger than the evidence supports.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2026-09-29T21:45:13.191Z</dcterms:created>
  <dcterms:modified xsi:type="dcterms:W3CDTF">2026-09-29T21:45:13.191Z</dcterms:modified>
</cp:coreProperties>
</file>

<file path=docProps/custom.xml><?xml version="1.0" encoding="utf-8"?>
<Properties xmlns="http://schemas.openxmlformats.org/officeDocument/2006/custom-properties" xmlns:vt="http://schemas.openxmlformats.org/officeDocument/2006/docPropsVTypes"/>
</file>