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</w:pPr>
      <w:r>
        <w:rPr>
          <w:rFonts w:ascii="Calibri" w:hAnsi="Calibri"/>
          <w:b/>
          <w:i w:val="0"/>
          <w:color w:val="C9A646"/>
          <w:sz w:val="20"/>
        </w:rPr>
        <w:t>GUIDE OPÉRATIONNEL</w:t>
      </w:r>
    </w:p>
    <w:p>
      <w:pPr>
        <w:spacing w:after="80"/>
      </w:pPr>
      <w:r>
        <w:rPr>
          <w:rFonts w:ascii="Calibri" w:hAnsi="Calibri"/>
          <w:b/>
          <w:i w:val="0"/>
          <w:color w:val="0D2B45"/>
          <w:sz w:val="50"/>
        </w:rPr>
        <w:t>Procédure d’utilisation sécurisée</w:t>
      </w:r>
    </w:p>
    <w:p>
      <w:pPr>
        <w:spacing w:after="280"/>
      </w:pPr>
      <w:r>
        <w:rPr>
          <w:rFonts w:ascii="Calibri" w:hAnsi="Calibri"/>
          <w:b w:val="0"/>
          <w:i w:val="0"/>
          <w:color w:val="1F4D78"/>
          <w:sz w:val="28"/>
        </w:rPr>
        <w:t>Logiciel de gestion médicale — CSA Garde Républicaine du Plateau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0D2B45"/>
                <w:sz w:val="22"/>
              </w:rPr>
              <w:t>Adresse officielle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>https://rommellnelson-ux.github.io/csa-plateau/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0D2B45"/>
                <w:sz w:val="22"/>
              </w:rPr>
              <w:t>Version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>1.0 — 12 juin 2026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0D2B45"/>
                <w:sz w:val="22"/>
              </w:rPr>
              <w:t>Classification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>Usage interne — données médicales confidentielles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CE8E6"/>
          </w:tcPr>
          <w:p>
            <w:r>
              <w:rPr>
                <w:rFonts w:ascii="Calibri" w:hAnsi="Calibri"/>
                <w:b/>
                <w:i w:val="0"/>
                <w:color w:val="0D2B45"/>
                <w:sz w:val="22"/>
              </w:rPr>
              <w:t>Règle essentielle</w:t>
              <w:br/>
            </w:r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>Chaque agent utilise uniquement son compte personnel. Les identifiants, mots de passe et codes MFA ne doivent jamais être partagés.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1. Accès et responsabilités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1A1A2E"/>
          <w:sz w:val="22"/>
        </w:rPr>
        <w:t>Les écrans sont attribués selon la fonction enregistrée dans Supabase. Toute tentative d’accès hors rôle est refusée et peut être tracée.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000"/>
        <w:gridCol w:w="41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D2B45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Profil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D2B45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Accès principal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D2B45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Limites</w:t>
            </w:r>
          </w:p>
        </w:tc>
      </w:tr>
      <w:tr>
        <w:tc>
          <w:tcPr>
            <w:tcW w:type="dxa" w:w="2200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1"/>
              </w:rPr>
              <w:t>Accueil</w:t>
            </w:r>
          </w:p>
        </w:tc>
        <w:tc>
          <w:tcPr>
            <w:tcW w:type="dxa" w:w="3000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1"/>
              </w:rPr>
              <w:t>Réception, constantes, consultation, file</w:t>
            </w:r>
          </w:p>
        </w:tc>
        <w:tc>
          <w:tcPr>
            <w:tcW w:type="dxa" w:w="4160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1"/>
              </w:rPr>
              <w:t>Selon les permissions du compte</w:t>
            </w:r>
          </w:p>
        </w:tc>
      </w:tr>
      <w:tr>
        <w:tc>
          <w:tcPr>
            <w:tcW w:type="dxa" w:w="2200"/>
            <w:shd w:fill="F7F9FC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1"/>
              </w:rPr>
              <w:t>AS</w:t>
            </w:r>
          </w:p>
        </w:tc>
        <w:tc>
          <w:tcPr>
            <w:tcW w:type="dxa" w:w="3000"/>
            <w:shd w:fill="F7F9FC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1"/>
              </w:rPr>
              <w:t>Accueil patient, constantes, file du jour</w:t>
            </w:r>
          </w:p>
        </w:tc>
        <w:tc>
          <w:tcPr>
            <w:tcW w:type="dxa" w:w="4160"/>
            <w:shd w:fill="F7F9FC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1"/>
              </w:rPr>
              <w:t>Pas de consultation ni de caisse</w:t>
            </w:r>
          </w:p>
        </w:tc>
      </w:tr>
      <w:tr>
        <w:tc>
          <w:tcPr>
            <w:tcW w:type="dxa" w:w="2200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1"/>
              </w:rPr>
              <w:t>Soins</w:t>
            </w:r>
          </w:p>
        </w:tc>
        <w:tc>
          <w:tcPr>
            <w:tcW w:type="dxa" w:w="3000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1"/>
              </w:rPr>
              <w:t>Consultation orientée, soins, observation</w:t>
            </w:r>
          </w:p>
        </w:tc>
        <w:tc>
          <w:tcPr>
            <w:tcW w:type="dxa" w:w="4160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1"/>
              </w:rPr>
              <w:t>Pas de fonctions chef/comptabilité</w:t>
            </w:r>
          </w:p>
        </w:tc>
      </w:tr>
      <w:tr>
        <w:tc>
          <w:tcPr>
            <w:tcW w:type="dxa" w:w="2200"/>
            <w:shd w:fill="F7F9FC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1"/>
              </w:rPr>
              <w:t>Soins + Pharmacie</w:t>
            </w:r>
          </w:p>
        </w:tc>
        <w:tc>
          <w:tcPr>
            <w:tcW w:type="dxa" w:w="3000"/>
            <w:shd w:fill="F7F9FC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1"/>
              </w:rPr>
              <w:t>Soins et gestion pharmacie</w:t>
            </w:r>
          </w:p>
        </w:tc>
        <w:tc>
          <w:tcPr>
            <w:tcW w:type="dxa" w:w="4160"/>
            <w:shd w:fill="F7F9FC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1"/>
              </w:rPr>
              <w:t>Compte nominatif obligatoire</w:t>
            </w:r>
          </w:p>
        </w:tc>
      </w:tr>
      <w:tr>
        <w:tc>
          <w:tcPr>
            <w:tcW w:type="dxa" w:w="2200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1"/>
              </w:rPr>
              <w:t>Laboratoire</w:t>
            </w:r>
          </w:p>
        </w:tc>
        <w:tc>
          <w:tcPr>
            <w:tcW w:type="dxa" w:w="3000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1"/>
              </w:rPr>
              <w:t>Saisie des actes, résultats, feuilles CMU</w:t>
            </w:r>
          </w:p>
        </w:tc>
        <w:tc>
          <w:tcPr>
            <w:tcW w:type="dxa" w:w="4160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1"/>
              </w:rPr>
              <w:t>Pas d’accès aux autres services</w:t>
            </w:r>
          </w:p>
        </w:tc>
      </w:tr>
      <w:tr>
        <w:tc>
          <w:tcPr>
            <w:tcW w:type="dxa" w:w="2200"/>
            <w:shd w:fill="F7F9FC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1"/>
              </w:rPr>
              <w:t>Comptabilité</w:t>
            </w:r>
          </w:p>
        </w:tc>
        <w:tc>
          <w:tcPr>
            <w:tcW w:type="dxa" w:w="3000"/>
            <w:shd w:fill="F7F9FC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1"/>
              </w:rPr>
              <w:t>Caisse, clôture, rapports</w:t>
            </w:r>
          </w:p>
        </w:tc>
        <w:tc>
          <w:tcPr>
            <w:tcW w:type="dxa" w:w="4160"/>
            <w:shd w:fill="F7F9FC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1"/>
              </w:rPr>
              <w:t>Pas d’accès clinique complet</w:t>
            </w:r>
          </w:p>
        </w:tc>
      </w:tr>
      <w:tr>
        <w:tc>
          <w:tcPr>
            <w:tcW w:type="dxa" w:w="2200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1"/>
              </w:rPr>
              <w:t>Médecin-Chef</w:t>
            </w:r>
          </w:p>
        </w:tc>
        <w:tc>
          <w:tcPr>
            <w:tcW w:type="dxa" w:w="3000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1"/>
              </w:rPr>
              <w:t>Tous les modules</w:t>
            </w:r>
          </w:p>
        </w:tc>
        <w:tc>
          <w:tcPr>
            <w:tcW w:type="dxa" w:w="4160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1"/>
              </w:rPr>
              <w:t>MFA obligatoire à chaque nouvelle session</w:t>
            </w:r>
          </w:p>
        </w:tc>
      </w:tr>
      <w:tr>
        <w:tc>
          <w:tcPr>
            <w:tcW w:type="dxa" w:w="2200"/>
            <w:shd w:fill="F7F9FC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1"/>
              </w:rPr>
              <w:t>CDV</w:t>
            </w:r>
          </w:p>
        </w:tc>
        <w:tc>
          <w:tcPr>
            <w:tcW w:type="dxa" w:w="3000"/>
            <w:shd w:fill="F7F9FC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1"/>
              </w:rPr>
              <w:t>Aucun accès actuellement</w:t>
            </w:r>
          </w:p>
        </w:tc>
        <w:tc>
          <w:tcPr>
            <w:tcW w:type="dxa" w:w="4160"/>
            <w:shd w:fill="F7F9FC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1"/>
              </w:rPr>
              <w:t>Fonctionnalité non définie</w:t>
            </w:r>
          </w:p>
        </w:tc>
      </w:tr>
    </w:tbl>
    <w:p>
      <w:pPr>
        <w:pStyle w:val="Heading1"/>
        <w:keepNext/>
      </w:pPr>
      <w:r>
        <w:t>2. Connexion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20"/>
        <w:gridCol w:w="8740"/>
      </w:tblGrid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D2B45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1</w:t>
            </w:r>
          </w:p>
        </w:tc>
        <w:tc>
          <w:tcPr>
            <w:tcW w:type="dxa" w:w="8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D2B45"/>
                <w:sz w:val="22"/>
              </w:rPr>
              <w:t xml:space="preserve">Ouvrir le site officiel — </w:t>
            </w:r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>Utiliser exclusivement l’adresse indiquée en première page et vérifier le cadenas HTTPS.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20"/>
        <w:gridCol w:w="8740"/>
      </w:tblGrid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D2B45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2</w:t>
            </w:r>
          </w:p>
        </w:tc>
        <w:tc>
          <w:tcPr>
            <w:tcW w:type="dxa" w:w="8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D2B45"/>
                <w:sz w:val="22"/>
              </w:rPr>
              <w:t xml:space="preserve">S’identifier — </w:t>
            </w:r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>Saisir son email professionnel et son mot de passe personnel.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20"/>
        <w:gridCol w:w="8740"/>
      </w:tblGrid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D2B45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3</w:t>
            </w:r>
          </w:p>
        </w:tc>
        <w:tc>
          <w:tcPr>
            <w:tcW w:type="dxa" w:w="8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D2B45"/>
                <w:sz w:val="22"/>
              </w:rPr>
              <w:t xml:space="preserve">Contrôler son profil — </w:t>
            </w:r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>Vérifier le nom et la fonction affichés en haut de l’écran avant toute saisie.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20"/>
        <w:gridCol w:w="8740"/>
      </w:tblGrid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D2B45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4</w:t>
            </w:r>
          </w:p>
        </w:tc>
        <w:tc>
          <w:tcPr>
            <w:tcW w:type="dxa" w:w="8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D2B45"/>
                <w:sz w:val="22"/>
              </w:rPr>
              <w:t xml:space="preserve">Se déconnecter — </w:t>
            </w:r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>Cliquer sur Déconnexion dès que le poste est quitté, même pour une courte absence.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3. MFA obligatoire du Médecin-Chef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1A1A2E"/>
          <w:sz w:val="22"/>
        </w:rPr>
        <w:t>Lors de la première connexion après activation, l’application affiche un QR code.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A1A2E"/>
          <w:sz w:val="22"/>
        </w:rPr>
        <w:t>Installer Google Authenticator, Microsoft Authenticator ou Authy sur un téléphone sécurisé.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A1A2E"/>
          <w:sz w:val="22"/>
        </w:rPr>
        <w:t>Scanner le QR code affiché. Si le scan échoue, saisir la clé manuelle.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A1A2E"/>
          <w:sz w:val="22"/>
        </w:rPr>
        <w:t>Entrer le code à six chiffres généré par l’application, puis valider.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A1A2E"/>
          <w:sz w:val="22"/>
        </w:rPr>
        <w:t>Aux connexions suivantes, saisir le nouveau code à six chiffres après le mot de passe.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A1A2E"/>
          <w:sz w:val="22"/>
        </w:rPr>
        <w:t>Ne jamais photographier, envoyer ou imprimer le QR code ou la clé secrète.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CE8E6"/>
          </w:tcPr>
          <w:p>
            <w:r>
              <w:rPr>
                <w:rFonts w:ascii="Calibri" w:hAnsi="Calibri"/>
                <w:b/>
                <w:i w:val="0"/>
                <w:color w:val="0D2B45"/>
                <w:sz w:val="22"/>
              </w:rPr>
              <w:t>Perte du téléphone</w:t>
              <w:br/>
            </w:r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>Ne pas créer un nouveau compte. Contacter l’administrateur Supabase pour retirer l’ancien facteur MFA après vérification d’identité.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4. Parcours patient standard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20"/>
        <w:gridCol w:w="8740"/>
      </w:tblGrid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D2B45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1</w:t>
            </w:r>
          </w:p>
        </w:tc>
        <w:tc>
          <w:tcPr>
            <w:tcW w:type="dxa" w:w="8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D2B45"/>
                <w:sz w:val="22"/>
              </w:rPr>
              <w:t xml:space="preserve">Accueil — </w:t>
            </w:r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>Rechercher d’abord le patient. Créer un dossier uniquement s’il n’existe pas.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20"/>
        <w:gridCol w:w="8740"/>
      </w:tblGrid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D2B45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2</w:t>
            </w:r>
          </w:p>
        </w:tc>
        <w:tc>
          <w:tcPr>
            <w:tcW w:type="dxa" w:w="8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D2B45"/>
                <w:sz w:val="22"/>
              </w:rPr>
              <w:t xml:space="preserve">Constantes — </w:t>
            </w:r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>Sélectionner le patient et mesurer les valeurs avant validation.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20"/>
        <w:gridCol w:w="8740"/>
      </w:tblGrid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D2B45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3</w:t>
            </w:r>
          </w:p>
        </w:tc>
        <w:tc>
          <w:tcPr>
            <w:tcW w:type="dxa" w:w="8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D2B45"/>
                <w:sz w:val="22"/>
              </w:rPr>
              <w:t xml:space="preserve">Consultation — </w:t>
            </w:r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>Renseigner motif, antécédents, ordonnance et orientations utiles.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20"/>
        <w:gridCol w:w="8740"/>
      </w:tblGrid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D2B45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4</w:t>
            </w:r>
          </w:p>
        </w:tc>
        <w:tc>
          <w:tcPr>
            <w:tcW w:type="dxa" w:w="8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D2B45"/>
                <w:sz w:val="22"/>
              </w:rPr>
              <w:t xml:space="preserve">Service orienté — </w:t>
            </w:r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>Le laboratoire, les soins ou la pharmacie recherchent le patient orienté.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20"/>
        <w:gridCol w:w="8740"/>
      </w:tblGrid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D2B45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5</w:t>
            </w:r>
          </w:p>
        </w:tc>
        <w:tc>
          <w:tcPr>
            <w:tcW w:type="dxa" w:w="8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D2B45"/>
                <w:sz w:val="22"/>
              </w:rPr>
              <w:t xml:space="preserve">Facturation — </w:t>
            </w:r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>Contrôler statut, droits et montant avant validation.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20"/>
        <w:gridCol w:w="8740"/>
      </w:tblGrid>
      <w:tr>
        <w:tc>
          <w:tcPr>
            <w:tcW w:type="dxa" w:w="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D2B45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6</w:t>
            </w:r>
          </w:p>
        </w:tc>
        <w:tc>
          <w:tcPr>
            <w:tcW w:type="dxa" w:w="8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D2B45"/>
                <w:sz w:val="22"/>
              </w:rPr>
              <w:t xml:space="preserve">Clôture — </w:t>
            </w:r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>La comptabilité rapproche les transactions et la caisse physique.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5. Qualité des données cliniques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1A1A2E"/>
          <w:sz w:val="22"/>
        </w:rPr>
        <w:t>L’application refuse les valeurs manifestement impossibles. En cas de doute, refaire la mesure plutôt que forcer une valeur.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2300"/>
        <w:gridCol w:w="4660"/>
      </w:tblGrid>
      <w:tr>
        <w:trPr>
          <w:tblHeader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D2B45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Mesure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D2B45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Plage acceptée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D2B45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Conduite</w:t>
            </w:r>
          </w:p>
        </w:tc>
      </w:tr>
      <w:tr>
        <w:tc>
          <w:tcPr>
            <w:tcW w:type="dxa" w:w="2400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1"/>
              </w:rPr>
              <w:t>Poids</w:t>
            </w:r>
          </w:p>
        </w:tc>
        <w:tc>
          <w:tcPr>
            <w:tcW w:type="dxa" w:w="2300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1"/>
              </w:rPr>
              <w:t>1 à 400 kg</w:t>
            </w:r>
          </w:p>
        </w:tc>
        <w:tc>
          <w:tcPr>
            <w:tcW w:type="dxa" w:w="4660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1"/>
              </w:rPr>
              <w:t>Vérifier l’unité et la balance</w:t>
            </w:r>
          </w:p>
        </w:tc>
      </w:tr>
      <w:tr>
        <w:tc>
          <w:tcPr>
            <w:tcW w:type="dxa" w:w="2400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1"/>
              </w:rPr>
              <w:t>Taille</w:t>
            </w:r>
          </w:p>
        </w:tc>
        <w:tc>
          <w:tcPr>
            <w:tcW w:type="dxa" w:w="2300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1"/>
              </w:rPr>
              <w:t>30 à 250 cm</w:t>
            </w:r>
          </w:p>
        </w:tc>
        <w:tc>
          <w:tcPr>
            <w:tcW w:type="dxa" w:w="4660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1"/>
              </w:rPr>
              <w:t>Saisir en centimètres</w:t>
            </w:r>
          </w:p>
        </w:tc>
      </w:tr>
      <w:tr>
        <w:tc>
          <w:tcPr>
            <w:tcW w:type="dxa" w:w="2400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1"/>
              </w:rPr>
              <w:t>Température</w:t>
            </w:r>
          </w:p>
        </w:tc>
        <w:tc>
          <w:tcPr>
            <w:tcW w:type="dxa" w:w="2300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1"/>
              </w:rPr>
              <w:t>30 à 45 °C</w:t>
            </w:r>
          </w:p>
        </w:tc>
        <w:tc>
          <w:tcPr>
            <w:tcW w:type="dxa" w:w="4660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1"/>
              </w:rPr>
              <w:t>Refaire la mesure si hors plage</w:t>
            </w:r>
          </w:p>
        </w:tc>
      </w:tr>
      <w:tr>
        <w:tc>
          <w:tcPr>
            <w:tcW w:type="dxa" w:w="2400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1"/>
              </w:rPr>
              <w:t>Pouls</w:t>
            </w:r>
          </w:p>
        </w:tc>
        <w:tc>
          <w:tcPr>
            <w:tcW w:type="dxa" w:w="2300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1"/>
              </w:rPr>
              <w:t>20 à 250 bpm</w:t>
            </w:r>
          </w:p>
        </w:tc>
        <w:tc>
          <w:tcPr>
            <w:tcW w:type="dxa" w:w="4660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1"/>
              </w:rPr>
              <w:t>Contrôler le capteur et le patient</w:t>
            </w:r>
          </w:p>
        </w:tc>
      </w:tr>
      <w:tr>
        <w:tc>
          <w:tcPr>
            <w:tcW w:type="dxa" w:w="2400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1"/>
              </w:rPr>
              <w:t>SpO2</w:t>
            </w:r>
          </w:p>
        </w:tc>
        <w:tc>
          <w:tcPr>
            <w:tcW w:type="dxa" w:w="2300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1"/>
              </w:rPr>
              <w:t>50 à 100 %</w:t>
            </w:r>
          </w:p>
        </w:tc>
        <w:tc>
          <w:tcPr>
            <w:tcW w:type="dxa" w:w="4660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1"/>
              </w:rPr>
              <w:t>Alerter immédiatement si valeur basse confirmée</w:t>
            </w:r>
          </w:p>
        </w:tc>
      </w:tr>
      <w:tr>
        <w:tc>
          <w:tcPr>
            <w:tcW w:type="dxa" w:w="2400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1"/>
              </w:rPr>
              <w:t>Tension</w:t>
            </w:r>
          </w:p>
        </w:tc>
        <w:tc>
          <w:tcPr>
            <w:tcW w:type="dxa" w:w="2300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1"/>
              </w:rPr>
              <w:t>Format 120/80</w:t>
            </w:r>
          </w:p>
        </w:tc>
        <w:tc>
          <w:tcPr>
            <w:tcW w:type="dxa" w:w="4660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1"/>
              </w:rPr>
              <w:t>Ne pas ajouter de texte dans le champ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EFD9"/>
          </w:tcPr>
          <w:p>
            <w:r>
              <w:rPr>
                <w:rFonts w:ascii="Calibri" w:hAnsi="Calibri"/>
                <w:b/>
                <w:i w:val="0"/>
                <w:color w:val="0D2B45"/>
                <w:sz w:val="22"/>
              </w:rPr>
              <w:t>Correction d’une erreur</w:t>
              <w:br/>
            </w:r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>Ne jamais recréer une fausse consultation pour masquer une erreur. Signaler l’enregistrement au Médecin-Chef afin que la correction soit tracée.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6. Confidentialité et sécurité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A1A2E"/>
          <w:sz w:val="22"/>
        </w:rPr>
        <w:t>Ne consulter un dossier que pour les besoins directs de la prise en charge.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A1A2E"/>
          <w:sz w:val="22"/>
        </w:rPr>
        <w:t>Ne pas copier les données médicales dans WhatsApp, une messagerie personnelle ou un téléphone privé.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A1A2E"/>
          <w:sz w:val="22"/>
        </w:rPr>
        <w:t>Ne pas enregistrer les mots de passe dans un navigateur partagé.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A1A2E"/>
          <w:sz w:val="22"/>
        </w:rPr>
        <w:t>Ne pas exporter de CSV sans autorisation du Médecin-Chef.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A1A2E"/>
          <w:sz w:val="22"/>
        </w:rPr>
        <w:t>Verrouiller Windows ou se déconnecter avant de quitter le poste.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A1A2E"/>
          <w:sz w:val="22"/>
        </w:rPr>
        <w:t>Signaler immédiatement tout compte suspect, écran inhabituel ou perte d’appareil.</w:t>
      </w:r>
    </w:p>
    <w:p>
      <w:pPr>
        <w:pStyle w:val="Heading1"/>
        <w:keepNext/>
      </w:pPr>
      <w:r>
        <w:t>7. Connexion, synchronisation et incidents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1A1A2E"/>
          <w:sz w:val="22"/>
        </w:rPr>
        <w:t>Le voyant en haut de l’écran indique l’état de synchronisation.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700"/>
        <w:gridCol w:w="48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D2B45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État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D2B45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Signification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D2B45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Action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1"/>
              </w:rPr>
              <w:t>En ligne</w:t>
            </w:r>
          </w:p>
        </w:tc>
        <w:tc>
          <w:tcPr>
            <w:tcW w:type="dxa" w:w="2700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1"/>
              </w:rPr>
              <w:t>Données synchronisées</w:t>
            </w:r>
          </w:p>
        </w:tc>
        <w:tc>
          <w:tcPr>
            <w:tcW w:type="dxa" w:w="4860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1"/>
              </w:rPr>
              <w:t>Continuer normalement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1"/>
              </w:rPr>
              <w:t>Sync…</w:t>
            </w:r>
          </w:p>
        </w:tc>
        <w:tc>
          <w:tcPr>
            <w:tcW w:type="dxa" w:w="2700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1"/>
              </w:rPr>
              <w:t>Envoi ou réception en cours</w:t>
            </w:r>
          </w:p>
        </w:tc>
        <w:tc>
          <w:tcPr>
            <w:tcW w:type="dxa" w:w="4860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1"/>
              </w:rPr>
              <w:t>Attendre avant de fermer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1"/>
              </w:rPr>
              <w:t>Hors ligne</w:t>
            </w:r>
          </w:p>
        </w:tc>
        <w:tc>
          <w:tcPr>
            <w:tcW w:type="dxa" w:w="2700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1"/>
              </w:rPr>
              <w:t>Données conservées localement</w:t>
            </w:r>
          </w:p>
        </w:tc>
        <w:tc>
          <w:tcPr>
            <w:tcW w:type="dxa" w:w="4860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1"/>
              </w:rPr>
              <w:t>Ne pas vider le navigateur; reconnecter le réseau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1"/>
              </w:rPr>
              <w:t>Erreur sync</w:t>
            </w:r>
          </w:p>
        </w:tc>
        <w:tc>
          <w:tcPr>
            <w:tcW w:type="dxa" w:w="2700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1"/>
              </w:rPr>
              <w:t>Échec d’échange avec Supabase</w:t>
            </w:r>
          </w:p>
        </w:tc>
        <w:tc>
          <w:tcPr>
            <w:tcW w:type="dxa" w:w="4860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1"/>
              </w:rPr>
              <w:t>Noter l’heure et prévenir le responsable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CE8E6"/>
          </w:tcPr>
          <w:p>
            <w:r>
              <w:rPr>
                <w:rFonts w:ascii="Calibri" w:hAnsi="Calibri"/>
                <w:b/>
                <w:i w:val="0"/>
                <w:color w:val="0D2B45"/>
                <w:sz w:val="22"/>
              </w:rPr>
              <w:t>Incident de confidentialité</w:t>
              <w:br/>
            </w:r>
            <w:r>
              <w:rPr>
                <w:rFonts w:ascii="Calibri" w:hAnsi="Calibri"/>
                <w:b w:val="0"/>
                <w:i w:val="0"/>
                <w:color w:val="1A1A2E"/>
                <w:sz w:val="22"/>
              </w:rPr>
              <w:t>Déconnecter le poste sans supprimer les traces. Prévenir immédiatement le Médecin-Chef avec l’heure, le compte concerné et les faits observés.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8. Fin de poste — contrôle obligatoire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A1A2E"/>
          <w:sz w:val="22"/>
        </w:rPr>
        <w:t>☐ Toutes les opérations en attente sont synchronisées.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A1A2E"/>
          <w:sz w:val="22"/>
        </w:rPr>
        <w:t>☐ Les montants et stocks saisis ont été relus.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A1A2E"/>
          <w:sz w:val="22"/>
        </w:rPr>
        <w:t>☐ Les impressions contenant des données patients sont récupérées.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A1A2E"/>
          <w:sz w:val="22"/>
        </w:rPr>
        <w:t>☐ Aucun export médical ne reste sur le Bureau ou dans Téléchargements.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A1A2E"/>
          <w:sz w:val="22"/>
        </w:rPr>
        <w:t>☐ La session est déconnectée.</w:t>
      </w:r>
    </w:p>
    <w:p>
      <w:pPr>
        <w:pStyle w:val="Heading1"/>
        <w:keepNext/>
      </w:pPr>
      <w:r>
        <w:t>9. Administration et sauvegardes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1A1A2E"/>
          <w:sz w:val="22"/>
        </w:rPr>
        <w:t>Cette section est réservée au Médecin-Chef ou à l’administrateur technique.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A1A2E"/>
          <w:sz w:val="22"/>
        </w:rPr>
        <w:t>Créer un compte Auth distinct par agent et un profil csa_profiles correspondant.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A1A2E"/>
          <w:sz w:val="22"/>
        </w:rPr>
        <w:t>Désactiver immédiatement les profils des agents mutés ou sortis.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A1A2E"/>
          <w:sz w:val="22"/>
        </w:rPr>
        <w:t>Vérifier régulièrement les journaux Auth et le journal de traçabilité.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A1A2E"/>
          <w:sz w:val="22"/>
        </w:rPr>
        <w:t>Conserver une sauvegarde externe chiffrée; le forfait Supabase Free n’inclut pas les sauvegardes automatiques.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A1A2E"/>
          <w:sz w:val="22"/>
        </w:rPr>
        <w:t>Tester périodiquement la restauration et l’accès GitHub Pages.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A1A2E"/>
          <w:sz w:val="22"/>
        </w:rPr>
        <w:t>Examiner la table csa_data_corrections après toute correction historique.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440" w:bottom="1008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667084"/>
        <w:sz w:val="18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i w:val="0"/>
        <w:color w:val="667084"/>
        <w:sz w:val="18"/>
      </w:rPr>
      <w:t>CSA PLATEAU | PROCÉDURE D’UTILISATION SÉCURISÉE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A1A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