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0.png" ContentType="image/png"/>
  <Override PartName="/word/media/rId13.png" ContentType="image/png"/>
  <Override PartName="/word/media/rId30.png" ContentType="image/png"/>
  <Override PartName="/word/media/rId1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5e6c3c82b17c3396a6eec90f4879f2383e4f15b"/>
    <w:p>
      <w:pPr>
        <w:pStyle w:val="Heading1"/>
      </w:pPr>
      <w:r>
        <w:t xml:space="preserve">Report 2: Data Preprocessing and Exploratory Data Analysis</w:t>
      </w:r>
    </w:p>
    <w:bookmarkStart w:id="9" w:name="introduction"/>
    <w:p>
      <w:pPr>
        <w:pStyle w:val="Heading2"/>
      </w:pPr>
      <w:r>
        <w:t xml:space="preserve">Introduction</w:t>
      </w:r>
    </w:p>
    <w:p>
      <w:pPr>
        <w:pStyle w:val="FirstParagraph"/>
      </w:pPr>
      <w:r>
        <w:t xml:space="preserve">This report presents in detail the data preprocessing and exploratory analysis steps carried out for the study on predicting the advance rate (PR) of tunnel boring machines. The objective is to prepare a reliable dataset and explore the relationships between PR and influential parameters, in order to better understand the key factors for future modeling.</w:t>
      </w:r>
    </w:p>
    <w:bookmarkEnd w:id="9"/>
    <w:bookmarkStart w:id="17" w:name="data-preprocessing"/>
    <w:p>
      <w:pPr>
        <w:pStyle w:val="Heading2"/>
      </w:pPr>
      <w:r>
        <w:t xml:space="preserve">Data Preprocessing</w:t>
      </w:r>
    </w:p>
    <w:p>
      <w:pPr>
        <w:pStyle w:val="FirstParagraph"/>
      </w:pPr>
      <w:r>
        <w:t xml:space="preserve">The first step consisted of examining the dataset to identify and handle missing values. Missing entries were either removed when few in number or imputed using the mean or median to maintain dataset consistency. Outliers were detected using boxplots and statistical methods such as the interquartile range. These extreme values were removed to prevent them from negatively impacting subsequent analyses. Normalization was then applied to the variables to harmonize the scales of different parameters, making comparisons and interpretations easier.</w:t>
      </w:r>
    </w:p>
    <w:bookmarkStart w:id="16" w:name="boxplots-of-variables"/>
    <w:p>
      <w:pPr>
        <w:pStyle w:val="Heading3"/>
      </w:pPr>
      <w:r>
        <w:t xml:space="preserve">Boxplots of Variables</w:t>
      </w:r>
    </w:p>
    <w:p>
      <w:pPr>
        <w:pStyle w:val="FirstParagraph"/>
      </w:pPr>
      <w:r>
        <w:t xml:space="preserve">The following boxplots illustrate the distribution and presence of outliers for each variable:</w:t>
      </w:r>
      <w:r>
        <w:t xml:space="preserve"> </w:t>
      </w:r>
      <w:r>
        <w:drawing>
          <wp:inline>
            <wp:extent cx="5334000" cy="4610460"/>
            <wp:effectExtent b="0" l="0" r="0" t="0"/>
            <wp:docPr descr="Boxplots of variables" title="" id="11" name="Picture"/>
            <a:graphic>
              <a:graphicData uri="http://schemas.openxmlformats.org/drawingml/2006/picture">
                <pic:pic>
                  <pic:nvPicPr>
                    <pic:cNvPr descr="Box_plots_p1.png" id="12" name="Picture"/>
                    <pic:cNvPicPr>
                      <a:picLocks noChangeArrowheads="1" noChangeAspect="1"/>
                    </pic:cNvPicPr>
                  </pic:nvPicPr>
                  <pic:blipFill>
                    <a:blip r:embed="rId10"/>
                    <a:stretch>
                      <a:fillRect/>
                    </a:stretch>
                  </pic:blipFill>
                  <pic:spPr bwMode="auto">
                    <a:xfrm>
                      <a:off x="0" y="0"/>
                      <a:ext cx="5334000" cy="4610460"/>
                    </a:xfrm>
                    <a:prstGeom prst="rect">
                      <a:avLst/>
                    </a:prstGeom>
                    <a:noFill/>
                    <a:ln w="9525">
                      <a:noFill/>
                      <a:headEnd/>
                      <a:tailEnd/>
                    </a:ln>
                  </pic:spPr>
                </pic:pic>
              </a:graphicData>
            </a:graphic>
          </wp:inline>
        </w:drawing>
      </w:r>
      <w:r>
        <w:t xml:space="preserve"> </w:t>
      </w:r>
      <w:r>
        <w:drawing>
          <wp:inline>
            <wp:extent cx="5334000" cy="4543365"/>
            <wp:effectExtent b="0" l="0" r="0" t="0"/>
            <wp:docPr descr="Boxplots of variables" title="" id="14" name="Picture"/>
            <a:graphic>
              <a:graphicData uri="http://schemas.openxmlformats.org/drawingml/2006/picture">
                <pic:pic>
                  <pic:nvPicPr>
                    <pic:cNvPr descr="Box_plots_p2.png" id="15" name="Picture"/>
                    <pic:cNvPicPr>
                      <a:picLocks noChangeArrowheads="1" noChangeAspect="1"/>
                    </pic:cNvPicPr>
                  </pic:nvPicPr>
                  <pic:blipFill>
                    <a:blip r:embed="rId13"/>
                    <a:stretch>
                      <a:fillRect/>
                    </a:stretch>
                  </pic:blipFill>
                  <pic:spPr bwMode="auto">
                    <a:xfrm>
                      <a:off x="0" y="0"/>
                      <a:ext cx="5334000" cy="4543365"/>
                    </a:xfrm>
                    <a:prstGeom prst="rect">
                      <a:avLst/>
                    </a:prstGeom>
                    <a:noFill/>
                    <a:ln w="9525">
                      <a:noFill/>
                      <a:headEnd/>
                      <a:tailEnd/>
                    </a:ln>
                  </pic:spPr>
                </pic:pic>
              </a:graphicData>
            </a:graphic>
          </wp:inline>
        </w:drawing>
      </w:r>
      <w:r>
        <w:t xml:space="preserve"> </w:t>
      </w:r>
      <w:r>
        <w:rPr>
          <w:i/>
          <w:iCs/>
        </w:rPr>
        <w:t xml:space="preserve">Figure 1: Boxplots showing the spread and outliers for each parameter.</w:t>
      </w:r>
    </w:p>
    <w:p>
      <w:pPr>
        <w:pStyle w:val="BodyText"/>
      </w:pPr>
      <w:r>
        <w:t xml:space="preserve">Each boxplot represents the distribution of values for a given variable. Some variables, such as SE (specific energy), FPI, and TPI, show many points beyond the whiskers, indicating the presence of extreme values (outliers). This justifies their treatment during preprocessing. Other variables, such as CRS (RPM) or AR (mm/min), show a more compact distribution, indicating lower variability. The analysis of these boxplots quickly identifies variables that require special attention to ensure the robustness of subsequent analyses.</w:t>
      </w:r>
    </w:p>
    <w:p>
      <w:pPr>
        <w:pStyle w:val="BodyText"/>
      </w:pPr>
      <w:r>
        <w:t xml:space="preserve">For example, the variables SE (specific energy), FPI, and TPI show many points beyond the whiskers, indicating the presence of extreme values (outliers) that could bias statistical analyses. These variables therefore require special treatment, such as removing or imputing outliers, to ensure the reliability of the results. In contrast, variables like CRS (RPM) or AR (mm/min) display a more homogeneous distribution and require fewer adjustments. Thus, the analysis of boxplots helps to precisely target which variables need to be monitored and corrected during preprocessing.</w:t>
      </w:r>
    </w:p>
    <w:bookmarkEnd w:id="16"/>
    <w:bookmarkEnd w:id="17"/>
    <w:bookmarkStart w:id="34" w:name="exploratory-data-analysis"/>
    <w:p>
      <w:pPr>
        <w:pStyle w:val="Heading2"/>
      </w:pPr>
      <w:r>
        <w:t xml:space="preserve">Exploratory Data Analysis</w:t>
      </w:r>
    </w:p>
    <w:bookmarkStart w:id="21" w:name="histograms-of-variables"/>
    <w:p>
      <w:pPr>
        <w:pStyle w:val="Heading3"/>
      </w:pPr>
      <w:r>
        <w:t xml:space="preserve">Histograms of Variables</w:t>
      </w:r>
    </w:p>
    <w:p>
      <w:pPr>
        <w:pStyle w:val="FirstParagraph"/>
      </w:pPr>
      <w:r>
        <w:t xml:space="preserve">The following histograms show the distribution of each variable, highlighting skewness and the presence of extreme values:</w:t>
      </w:r>
      <w:r>
        <w:t xml:space="preserve"> </w:t>
      </w:r>
      <w:r>
        <w:drawing>
          <wp:inline>
            <wp:extent cx="5334000" cy="2618382"/>
            <wp:effectExtent b="0" l="0" r="0" t="0"/>
            <wp:docPr descr="Histograms of variables" title="" id="19" name="Picture"/>
            <a:graphic>
              <a:graphicData uri="http://schemas.openxmlformats.org/drawingml/2006/picture">
                <pic:pic>
                  <pic:nvPicPr>
                    <pic:cNvPr descr="Histo.png" id="20" name="Picture"/>
                    <pic:cNvPicPr>
                      <a:picLocks noChangeArrowheads="1" noChangeAspect="1"/>
                    </pic:cNvPicPr>
                  </pic:nvPicPr>
                  <pic:blipFill>
                    <a:blip r:embed="rId18"/>
                    <a:stretch>
                      <a:fillRect/>
                    </a:stretch>
                  </pic:blipFill>
                  <pic:spPr bwMode="auto">
                    <a:xfrm>
                      <a:off x="0" y="0"/>
                      <a:ext cx="5334000" cy="2618382"/>
                    </a:xfrm>
                    <a:prstGeom prst="rect">
                      <a:avLst/>
                    </a:prstGeom>
                    <a:noFill/>
                    <a:ln w="9525">
                      <a:noFill/>
                      <a:headEnd/>
                      <a:tailEnd/>
                    </a:ln>
                  </pic:spPr>
                </pic:pic>
              </a:graphicData>
            </a:graphic>
          </wp:inline>
        </w:drawing>
      </w:r>
      <w:r>
        <w:t xml:space="preserve"> </w:t>
      </w:r>
      <w:r>
        <w:rPr>
          <w:i/>
          <w:iCs/>
        </w:rPr>
        <w:t xml:space="preserve">Figure 2: Histograms showing the distribution of each parameter.</w:t>
      </w:r>
    </w:p>
    <w:p>
      <w:pPr>
        <w:pStyle w:val="BodyText"/>
      </w:pPr>
      <w:r>
        <w:t xml:space="preserve">A more detailed analysis of the histograms highlights the asymmetric nature of the distributions for most variables. This skewness, with a majority of low values and a few extreme ones, suggests that the machine’s behavior is generally stable, but rare and extreme events can occur and significantly impact overall performance. For instance, the long right tail seen for SE and FPI indicates the possibility of particularly challenging operating conditions, which should be considered in predictive modeling. This observation emphasizes the importance of using robust statistical methods or appropriate transformations to limit the influence of extreme values.</w:t>
      </w:r>
    </w:p>
    <w:bookmarkEnd w:id="21"/>
    <w:bookmarkStart w:id="25" w:name="scatter-plots-pr-vs-parameters"/>
    <w:p>
      <w:pPr>
        <w:pStyle w:val="Heading3"/>
      </w:pPr>
      <w:r>
        <w:t xml:space="preserve">Scatter Plots: PR vs Parameters</w:t>
      </w:r>
    </w:p>
    <w:p>
      <w:pPr>
        <w:pStyle w:val="FirstParagraph"/>
      </w:pPr>
      <w:r>
        <w:t xml:space="preserve">The following scatter plots illustrate the relationships between the advance rate (PR) and the main parameters:</w:t>
      </w:r>
      <w:r>
        <w:t xml:space="preserve"> </w:t>
      </w:r>
      <w:r>
        <w:drawing>
          <wp:inline>
            <wp:extent cx="5334000" cy="2618382"/>
            <wp:effectExtent b="0" l="0" r="0" t="0"/>
            <wp:docPr descr="Scatter plots: PR vs parameters" title="" id="23" name="Picture"/>
            <a:graphic>
              <a:graphicData uri="http://schemas.openxmlformats.org/drawingml/2006/picture">
                <pic:pic>
                  <pic:nvPicPr>
                    <pic:cNvPr descr="scatter_plot.png" id="24" name="Picture"/>
                    <pic:cNvPicPr>
                      <a:picLocks noChangeArrowheads="1" noChangeAspect="1"/>
                    </pic:cNvPicPr>
                  </pic:nvPicPr>
                  <pic:blipFill>
                    <a:blip r:embed="rId22"/>
                    <a:stretch>
                      <a:fillRect/>
                    </a:stretch>
                  </pic:blipFill>
                  <pic:spPr bwMode="auto">
                    <a:xfrm>
                      <a:off x="0" y="0"/>
                      <a:ext cx="5334000" cy="2618382"/>
                    </a:xfrm>
                    <a:prstGeom prst="rect">
                      <a:avLst/>
                    </a:prstGeom>
                    <a:noFill/>
                    <a:ln w="9525">
                      <a:noFill/>
                      <a:headEnd/>
                      <a:tailEnd/>
                    </a:ln>
                  </pic:spPr>
                </pic:pic>
              </a:graphicData>
            </a:graphic>
          </wp:inline>
        </w:drawing>
      </w:r>
      <w:r>
        <w:t xml:space="preserve"> </w:t>
      </w:r>
      <w:r>
        <w:rPr>
          <w:i/>
          <w:iCs/>
        </w:rPr>
        <w:t xml:space="preserve">Figure 3: Scatter plots showing the relationship between PR and each parameter.</w:t>
      </w:r>
    </w:p>
    <w:p>
      <w:pPr>
        <w:pStyle w:val="BodyText"/>
      </w:pPr>
      <w:r>
        <w:t xml:space="preserve">A deeper examination of the scatter plots reveals not only the strength of the correlations but also the presence of subgroups or nonlinear trends. For example, the positive relationship between AR and PR is very pronounced, but there is also increasing dispersion at higher values, which may indicate the influence of other unaccounted factors. For SE, FPI, and TPI, the negative trend is clear, but some points deviate from the general trend, suggesting special cases or atypical operating conditions. Visual analysis thus helps identify areas of interest for further study, particularly regarding extreme values or unusual groupings.</w:t>
      </w:r>
    </w:p>
    <w:bookmarkEnd w:id="25"/>
    <w:bookmarkStart w:id="29" w:name="density-plots-pr-vs-parameters"/>
    <w:p>
      <w:pPr>
        <w:pStyle w:val="Heading3"/>
      </w:pPr>
      <w:r>
        <w:t xml:space="preserve">Density Plots: PR vs Parameters</w:t>
      </w:r>
    </w:p>
    <w:p>
      <w:pPr>
        <w:pStyle w:val="FirstParagraph"/>
      </w:pPr>
      <w:r>
        <w:t xml:space="preserve">Density plots provide further insight into the concentration of data points and the nature of the relationships:</w:t>
      </w:r>
      <w:r>
        <w:t xml:space="preserve"> </w:t>
      </w:r>
      <w:r>
        <w:drawing>
          <wp:inline>
            <wp:extent cx="5334000" cy="2618382"/>
            <wp:effectExtent b="0" l="0" r="0" t="0"/>
            <wp:docPr descr="Density plots: PR vs parameters" title="" id="27" name="Picture"/>
            <a:graphic>
              <a:graphicData uri="http://schemas.openxmlformats.org/drawingml/2006/picture">
                <pic:pic>
                  <pic:nvPicPr>
                    <pic:cNvPr descr="2DKDE.png" id="28" name="Picture"/>
                    <pic:cNvPicPr>
                      <a:picLocks noChangeArrowheads="1" noChangeAspect="1"/>
                    </pic:cNvPicPr>
                  </pic:nvPicPr>
                  <pic:blipFill>
                    <a:blip r:embed="rId26"/>
                    <a:stretch>
                      <a:fillRect/>
                    </a:stretch>
                  </pic:blipFill>
                  <pic:spPr bwMode="auto">
                    <a:xfrm>
                      <a:off x="0" y="0"/>
                      <a:ext cx="5334000" cy="2618382"/>
                    </a:xfrm>
                    <a:prstGeom prst="rect">
                      <a:avLst/>
                    </a:prstGeom>
                    <a:noFill/>
                    <a:ln w="9525">
                      <a:noFill/>
                      <a:headEnd/>
                      <a:tailEnd/>
                    </a:ln>
                  </pic:spPr>
                </pic:pic>
              </a:graphicData>
            </a:graphic>
          </wp:inline>
        </w:drawing>
      </w:r>
      <w:r>
        <w:t xml:space="preserve"> </w:t>
      </w:r>
      <w:r>
        <w:rPr>
          <w:i/>
          <w:iCs/>
        </w:rPr>
        <w:t xml:space="preserve">Figure 4: Density plots for PR and each parameter.</w:t>
      </w:r>
    </w:p>
    <w:p>
      <w:pPr>
        <w:pStyle w:val="BodyText"/>
      </w:pPr>
      <w:r>
        <w:t xml:space="preserve">The density plots provide a complementary perspective by highlighting areas of high data concentration. For AR vs PR, the maximum density in the high-value region not only confirms the positive correlation but also suggests that most observations occur under optimal performance conditions. Conversely, for SE, FPI, and TPI, the density is concentrated in areas of low PR and high index values, indicating that difficult situations are less frequent but strongly associated with reduced performance. This analysis helps identify critical operating ranges and guides optimization or maintenance strategies.</w:t>
      </w:r>
    </w:p>
    <w:bookmarkEnd w:id="29"/>
    <w:bookmarkStart w:id="33" w:name="correlation-matrix-spearman"/>
    <w:p>
      <w:pPr>
        <w:pStyle w:val="Heading3"/>
      </w:pPr>
      <w:r>
        <w:t xml:space="preserve">Correlation Matrix (Spearman)</w:t>
      </w:r>
    </w:p>
    <w:p>
      <w:pPr>
        <w:pStyle w:val="FirstParagraph"/>
      </w:pPr>
      <w:r>
        <w:t xml:space="preserve">The Spearman correlation matrix below summarizes the strength and direction of relationships between all variables:</w:t>
      </w:r>
      <w:r>
        <w:t xml:space="preserve"> </w:t>
      </w:r>
      <w:r>
        <w:drawing>
          <wp:inline>
            <wp:extent cx="5334000" cy="2618382"/>
            <wp:effectExtent b="0" l="0" r="0" t="0"/>
            <wp:docPr descr="Spearman correlation matrix" title="" id="31" name="Picture"/>
            <a:graphic>
              <a:graphicData uri="http://schemas.openxmlformats.org/drawingml/2006/picture">
                <pic:pic>
                  <pic:nvPicPr>
                    <pic:cNvPr descr="Heatmap.png" id="32" name="Picture"/>
                    <pic:cNvPicPr>
                      <a:picLocks noChangeArrowheads="1" noChangeAspect="1"/>
                    </pic:cNvPicPr>
                  </pic:nvPicPr>
                  <pic:blipFill>
                    <a:blip r:embed="rId30"/>
                    <a:stretch>
                      <a:fillRect/>
                    </a:stretch>
                  </pic:blipFill>
                  <pic:spPr bwMode="auto">
                    <a:xfrm>
                      <a:off x="0" y="0"/>
                      <a:ext cx="5334000" cy="2618382"/>
                    </a:xfrm>
                    <a:prstGeom prst="rect">
                      <a:avLst/>
                    </a:prstGeom>
                    <a:noFill/>
                    <a:ln w="9525">
                      <a:noFill/>
                      <a:headEnd/>
                      <a:tailEnd/>
                    </a:ln>
                  </pic:spPr>
                </pic:pic>
              </a:graphicData>
            </a:graphic>
          </wp:inline>
        </w:drawing>
      </w:r>
      <w:r>
        <w:t xml:space="preserve"> </w:t>
      </w:r>
      <w:r>
        <w:rPr>
          <w:i/>
          <w:iCs/>
        </w:rPr>
        <w:t xml:space="preserve">Figure 5: Spearman correlation matrix for all variables.</w:t>
      </w:r>
    </w:p>
    <w:p>
      <w:pPr>
        <w:pStyle w:val="BodyText"/>
      </w:pPr>
      <w:r>
        <w:t xml:space="preserve">A detailed analysis of the correlation matrix highlights the structure of dependencies between variables. The very strong positive correlation between AR and PR confirms the central role of advance in machine performance. The marked negative correlations for SE, FPI, and TPI underline their impact as difficulty indicators. It is noteworthy that some variables show moderate or weak correlations, which may indicate indirect effects or complex interactions not captured by bivariate analysis. This matrix also helps detect possible redundancies between variables, thus guiding parameter selection for modeling.</w:t>
      </w:r>
    </w:p>
    <w:bookmarkEnd w:id="33"/>
    <w:bookmarkEnd w:id="34"/>
    <w:bookmarkStart w:id="35" w:name="interpretation-and-discussion"/>
    <w:p>
      <w:pPr>
        <w:pStyle w:val="Heading2"/>
      </w:pPr>
      <w:r>
        <w:t xml:space="preserve">Interpretation and Discussion</w:t>
      </w:r>
    </w:p>
    <w:p>
      <w:pPr>
        <w:pStyle w:val="FirstParagraph"/>
      </w:pPr>
      <w:r>
        <w:t xml:space="preserve">These results confirm the importance of certain mechanical and energy parameters in the advance rate of the TBM. Advance (AR) appears as the main factor, while an increase in specific energy or performance indices indicates increased difficulty in progress. The visualizations and statistical analysis thus help select the most relevant variables for upcoming predictive modeling.</w:t>
      </w:r>
    </w:p>
    <w:bookmarkEnd w:id="35"/>
    <w:bookmarkStart w:id="36" w:name="conclusion"/>
    <w:p>
      <w:pPr>
        <w:pStyle w:val="Heading2"/>
      </w:pPr>
      <w:r>
        <w:t xml:space="preserve">Conclusion</w:t>
      </w:r>
    </w:p>
    <w:p>
      <w:pPr>
        <w:pStyle w:val="FirstParagraph"/>
      </w:pPr>
      <w:r>
        <w:t xml:space="preserve">The preprocessing and exploratory analysis have made the dataset more reliable and provided a better understanding of the structure and relationships between variables. These steps form a solid basis for developing advance rate prediction models.</w:t>
      </w:r>
      <w:r>
        <w:t xml:space="preserve"> </w:t>
      </w:r>
      <w:r>
        <w:t xml:space="preserve">However, the presence of outliers in the dataset requires special attention during modeling. It will be necessary to assess the impact of these extreme values on the model results to decide whether to keep them or not.</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18" Target="media/rId18.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2026-04-16T04:06:46Z</dcterms:created>
  <dcterms:modified xsi:type="dcterms:W3CDTF">2026-04-16T04:06:46Z</dcterms:modified>
</cp:coreProperties>
</file>

<file path=docProps/custom.xml><?xml version="1.0" encoding="utf-8"?>
<Properties xmlns="http://schemas.openxmlformats.org/officeDocument/2006/custom-properties" xmlns:vt="http://schemas.openxmlformats.org/officeDocument/2006/docPropsVTypes"/>
</file>