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Merge w:val="restart"/>
          </w:tcPr>
          <w:p>
            <w:r>
              <w:t>Continuation Text</w:t>
            </w:r>
          </w:p>
        </w:tc>
        <w:tc>
          <w:tcPr>
            <w:tcW w:type="dxa" w:w="4320"/>
          </w:tcPr>
          <w:p>
            <w:r>
              <w:t>Row 1 Right (very tall)</w:t>
              <w:br/>
              <w:br/>
              <w:br/>
              <w:br/>
              <w:br/>
              <w:br/>
            </w:r>
          </w:p>
        </w:tc>
      </w:tr>
      <w:tr>
        <w:tc>
          <w:tcPr>
            <w:tcW w:type="dxa" w:w="4320"/>
            <w:vMerge w:val="continue"/>
          </w:tcPr>
          <w:p/>
        </w:tc>
        <w:tc>
          <w:tcPr>
            <w:tcW w:type="dxa" w:w="4320"/>
          </w:tcPr>
          <w:p>
            <w:r>
              <w:t>Row 2 Right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