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2"/>
        </w:rPr>
        <w:t>Программа для ЭВМ «RedMail»</w:t>
      </w:r>
    </w:p>
    <w:p>
      <w:pPr>
        <w:jc w:val="center"/>
      </w:pPr>
      <w:r>
        <w:rPr>
          <w:b/>
          <w:sz w:val="36"/>
        </w:rPr>
        <w:t>Руководство пользователя</w:t>
      </w:r>
    </w:p>
    <w:p>
      <w:pPr>
        <w:jc w:val="center"/>
      </w:pPr>
      <w:r>
        <w:rPr>
          <w:sz w:val="24"/>
        </w:rPr>
        <w:t>Эксплуатационная документация</w:t>
      </w:r>
    </w:p>
    <w:p/>
    <w:p/>
    <w:p/>
    <w:p/>
    <w:p/>
    <w:p/>
    <w:p/>
    <w:p/>
    <w:p/>
    <w:p/>
    <w:p/>
    <w:p/>
    <w:p>
      <w:pPr>
        <w:jc w:val="center"/>
      </w:pPr>
      <w:r>
        <w:t>Версия 0.0.1-61</w:t>
        <w:br/>
        <w:t>Правообладатель: Пономарев Роман Сергеевич</w:t>
        <w:br/>
        <w:t>2026</w:t>
      </w:r>
    </w:p>
    <w:p>
      <w:r>
        <w:br w:type="page"/>
      </w:r>
    </w:p>
    <w:p>
      <w:pPr>
        <w:pStyle w:val="Heading1"/>
      </w:pPr>
      <w:r>
        <w:t>1. Введение</w:t>
      </w:r>
    </w:p>
    <w:p>
      <w:pPr>
        <w:jc w:val="both"/>
      </w:pPr>
      <w:r>
        <w:rPr>
          <w:b w:val="0"/>
          <w:i w:val="0"/>
        </w:rPr>
        <w:t>«RedMail» — почтовый клиент для рабочих мест под управлением отечественной операционной системы РЕД ОС 8 (RED OS), x86_64, функциональный аналог Microsoft Outlook: электронная почта по протоколам IMAP/SMTP и Microsoft Exchange (EWS), локальные архивы писем, календарь с приглашениями на встречи по электронной почте (iTIP) и синхронизацией с CalDAV-серверами, адресная книга. Программа предназначена для корпоративных сетей, в том числе закрытых (без доступа в интернет), и поддерживает единый вход по Kerberos (SSO) в доменной инфраструктуре.</w:t>
      </w:r>
    </w:p>
    <w:p>
      <w:pPr>
        <w:jc w:val="both"/>
      </w:pPr>
      <w:r>
        <w:rPr>
          <w:b w:val="0"/>
          <w:i w:val="0"/>
        </w:rPr>
        <w:t>Главное окно состоит из трёх вкладок: «Почта», «Календарь», «Контакты». В правом верхнем углу — кнопки «Параметры» и «Справка».</w:t>
      </w:r>
    </w:p>
    <w:p>
      <w:pPr>
        <w:pStyle w:val="Heading1"/>
      </w:pPr>
      <w:r>
        <w:t>2. Первый запуск и подключение ящика</w:t>
      </w:r>
    </w:p>
    <w:p>
      <w:pPr>
        <w:pStyle w:val="ListNumber"/>
      </w:pPr>
      <w:r>
        <w:t>Откройте «Параметры» → раздел «Учётные записи и правила почты» → «Добавить учётную запись…».</w:t>
      </w:r>
    </w:p>
    <w:p>
      <w:pPr>
        <w:pStyle w:val="ListNumber"/>
      </w:pPr>
      <w:r>
        <w:t>Укажите сервер входящей почты (IMAP), порт (обычно 993, SSL), логин (адрес электронной почты) и пароль. Для VK Mail, Gmail, Яндекс и подобных сервисов используется «пароль приложения», выдаваемый в настройках почтового сервиса.</w:t>
      </w:r>
    </w:p>
    <w:p>
      <w:pPr>
        <w:pStyle w:val="ListNumber"/>
      </w:pPr>
      <w:r>
        <w:t>Сервер исходящей почты (SMTP) использует тот же логин и пароль; порт 465 (SSL) или 587 (STARTTLS).</w:t>
      </w:r>
    </w:p>
    <w:p>
      <w:pPr>
        <w:pStyle w:val="ListNumber"/>
      </w:pPr>
      <w:r>
        <w:t>Способ входа: «Логин и пароль» или «Единый вход (Kerberos)». Во втором случае пароль не хранится: используется билет домена, полученный при входе в РЕД ОС, либо файл keytab, если он указан.</w:t>
      </w:r>
    </w:p>
    <w:p>
      <w:pPr>
        <w:pStyle w:val="ListNumber"/>
      </w:pPr>
      <w:r>
        <w:t>Нажмите «Проверить подключение», затем «Сохранить». Для Microsoft Exchange используйте кнопку «Подключить Exchange (EWS)…» и укажите адрес сервера EWS.</w:t>
      </w:r>
    </w:p>
    <w:p>
      <w:pPr>
        <w:jc w:val="both"/>
      </w:pPr>
      <w:r>
        <w:rPr>
          <w:b w:val="0"/>
          <w:i w:val="0"/>
        </w:rPr>
        <w:t>Пароль сохраняется в системном защищённом хранилище РЕД ОС, а не в файлах программы.</w:t>
      </w:r>
    </w:p>
    <w:p>
      <w:pPr>
        <w:pStyle w:val="Heading1"/>
      </w:pPr>
      <w:r>
        <w:t>3. Почта</w:t>
      </w:r>
    </w:p>
    <w:p>
      <w:pPr>
        <w:pStyle w:val="Heading2"/>
      </w:pPr>
      <w:r>
        <w:t>3.1. Папки</w:t>
      </w:r>
    </w:p>
    <w:p>
      <w:pPr>
        <w:jc w:val="both"/>
      </w:pPr>
      <w:r>
        <w:rPr>
          <w:b w:val="0"/>
          <w:i w:val="0"/>
        </w:rPr>
        <w:t>Слева — дерево папок ящика и открытых архивов. Правой кнопкой по папке: создать, переименовать, архивировать папку, очистить корзину. Папки можно перетаскивать мышью. Число непрочитанных показано рядом с именем.</w:t>
      </w:r>
    </w:p>
    <w:p>
      <w:pPr>
        <w:pStyle w:val="Heading2"/>
      </w:pPr>
      <w:r>
        <w:t>3.2. Список писем</w:t>
      </w:r>
    </w:p>
    <w:p>
      <w:pPr>
        <w:pStyle w:val="ListBullet"/>
      </w:pPr>
      <w:r>
        <w:t>Режим отображения переключается кнопками «Таблица» и «Плитки» на панели действий; выбор запоминается.</w:t>
      </w:r>
    </w:p>
    <w:p>
      <w:pPr>
        <w:pStyle w:val="ListBullet"/>
      </w:pPr>
      <w:r>
        <w:t>В таблице колонки можно скрывать, переставлять и сортировать щелчком по заголовку; состояние колонок сохраняется.</w:t>
      </w:r>
    </w:p>
    <w:p>
      <w:pPr>
        <w:pStyle w:val="ListBullet"/>
      </w:pPr>
      <w:r>
        <w:t>Поле «Фильтр» над списком ищет по теме (или другому выбранному полю).</w:t>
      </w:r>
    </w:p>
    <w:p>
      <w:pPr>
        <w:pStyle w:val="ListBullet"/>
      </w:pPr>
      <w:r>
        <w:t>Кнопка «Фильтр» открывает фильтры «Только важные», «Только с вложениями» и фильтр по маркеру (любой маркер или конкретный цвет).</w:t>
      </w:r>
    </w:p>
    <w:p>
      <w:pPr>
        <w:pStyle w:val="ListBullet"/>
      </w:pPr>
      <w:r>
        <w:t>Маркеры: щелчок по колонке маркера (в таблице) или пункт «Маркер…» контекстного меню (в плитках) открывает список цветов; у письма может быть несколько маркеров, повторный щелчок по цвету снимает его.</w:t>
      </w:r>
    </w:p>
    <w:p>
      <w:pPr>
        <w:pStyle w:val="ListBullet"/>
      </w:pPr>
      <w:r>
        <w:t>Галочка слева отмечает письма для массовых действий: «Удалить», «В архив…».</w:t>
      </w:r>
    </w:p>
    <w:p>
      <w:pPr>
        <w:pStyle w:val="ListBullet"/>
      </w:pPr>
      <w:r>
        <w:t>Контекстное меню письма: отметить прочитанным/непрочитанным, восстановить из корзины, добавить отправителя в контакты.</w:t>
      </w:r>
    </w:p>
    <w:p>
      <w:pPr>
        <w:pStyle w:val="Heading2"/>
      </w:pPr>
      <w:r>
        <w:t>3.3. Чтение письма</w:t>
      </w:r>
    </w:p>
    <w:p>
      <w:pPr>
        <w:jc w:val="both"/>
      </w:pPr>
      <w:r>
        <w:rPr>
          <w:b w:val="0"/>
          <w:i w:val="0"/>
        </w:rPr>
        <w:t>Выбранное письмо открывается в панели чтения (снизу или справа — см. Параметры). Сверху — тема, отправитель, получатели (при большом числе получателей — «и ещё N», полный список по щелчку), дата. Ниже — цепочка переписки, вложения (двойной щелчок — открыть, контекстное меню — «Сохранить как…»), затем текст письма. Двойной щелчок по письму в списке открывает его в отдельном окне. Если письмо содержит приглашение на встречу, над текстом появляется панель с кнопками «Принять», «Предварительно», «Отклонить».</w:t>
      </w:r>
    </w:p>
    <w:p>
      <w:pPr>
        <w:pStyle w:val="Heading2"/>
      </w:pPr>
      <w:r>
        <w:t>3.4. Создание и отправка</w:t>
      </w:r>
    </w:p>
    <w:p>
      <w:pPr>
        <w:pStyle w:val="ListBullet"/>
      </w:pPr>
      <w:r>
        <w:t>«Написать» открывает окно нового письма. Поля «Кому»/«Копия» поддерживают автодополнение по адресной книге; кнопка рядом с полем открывает адресную книгу с выбором нескольких получателей галочками.</w:t>
      </w:r>
    </w:p>
    <w:p>
      <w:pPr>
        <w:pStyle w:val="ListBullet"/>
      </w:pPr>
      <w:r>
        <w:t>Текст — в HTML-редакторе с форматированием (жирный, курсив, подчёркнутый, списки), вставкой изображений из буфера обмена и вложениями («Прикрепить…»).</w:t>
      </w:r>
    </w:p>
    <w:p>
      <w:pPr>
        <w:pStyle w:val="ListBullet"/>
      </w:pPr>
      <w:r>
        <w:t>Подпись подставляется автоматически (подпись по умолчанию) и может быть выбрана из списка.</w:t>
      </w:r>
    </w:p>
    <w:p>
      <w:pPr>
        <w:pStyle w:val="ListBullet"/>
      </w:pPr>
      <w:r>
        <w:t>«Ответить», «Ответить всем», «Переслать» доступны на панели и в окне письма; при пересылке сохраняются вложения и встроенные изображения. После отправки ответа исходное письмо получает признак «отвечено».</w:t>
      </w:r>
    </w:p>
    <w:p>
      <w:pPr>
        <w:pStyle w:val="Heading2"/>
      </w:pPr>
      <w:r>
        <w:t>3.5. Правила сортировки</w:t>
      </w:r>
    </w:p>
    <w:p>
      <w:pPr>
        <w:jc w:val="both"/>
      </w:pPr>
      <w:r>
        <w:rPr>
          <w:b w:val="0"/>
          <w:i w:val="0"/>
        </w:rPr>
        <w:t>«Параметры» → «Правила сортировки почты…»: правило состоит из условия (отправитель или тема содержит текст) и целевой папки. Правила применяются к новым письмам при проверке почты; кнопка «Применить правила к текущей папке» обрабатывает уже полученные письма.</w:t>
      </w:r>
    </w:p>
    <w:p>
      <w:pPr>
        <w:pStyle w:val="Heading2"/>
      </w:pPr>
      <w:r>
        <w:t>3.6. Архивы</w:t>
      </w:r>
    </w:p>
    <w:p>
      <w:pPr>
        <w:pStyle w:val="ListBullet"/>
      </w:pPr>
      <w:r>
        <w:t>«Архивировать папку…» (контекстное меню папки или кнопка «В архив…» для отмеченных писем) переносит письма в локальный файл архива; можно выбрать «всю папку» или «письма до даты». Новые архивы создаются в каталоге, заданном в Параметрах.</w:t>
      </w:r>
    </w:p>
    <w:p>
      <w:pPr>
        <w:pStyle w:val="ListBullet"/>
      </w:pPr>
      <w:r>
        <w:t>«Открыть архив…» подключает существующий файл .rmarchive; архив показывается в дереве папок и читается как обычный ящик. «Закрыть архив» убирает его из дерева.</w:t>
      </w:r>
    </w:p>
    <w:p>
      <w:pPr>
        <w:pStyle w:val="ListBullet"/>
      </w:pPr>
      <w:r>
        <w:t>«Импортировать…» → «.pst (Outlook)», «mbox», «Maildir» создаёт архив из данных других почтовых программ.</w:t>
      </w:r>
    </w:p>
    <w:p>
      <w:pPr>
        <w:pStyle w:val="Heading1"/>
      </w:pPr>
      <w:r>
        <w:t>4. Календарь</w:t>
      </w:r>
    </w:p>
    <w:p>
      <w:pPr>
        <w:pStyle w:val="ListBullet"/>
      </w:pPr>
      <w:r>
        <w:t>Недельная сетка; кнопки «Сегодня», «Предыдущая неделя», «Следующая неделя». Щелчок по свободному времени создаёт встречу; перетаскивание блока переносит её, перетаскивание нижнего края меняет длительность.</w:t>
      </w:r>
    </w:p>
    <w:p>
      <w:pPr>
        <w:pStyle w:val="ListBullet"/>
      </w:pPr>
      <w:r>
        <w:t>Окно встречи: тема, время начала и окончания, «весь день», место, описание, участники (с автодополнением из контактов), повторение, вложения, календарь и цвет. При наличии участников программа отправляет им приглашения по электронной почте.</w:t>
      </w:r>
    </w:p>
    <w:p>
      <w:pPr>
        <w:pStyle w:val="ListBullet"/>
      </w:pPr>
      <w:r>
        <w:t>Изменение встречи организатором рассылает участникам обновление; «Отменить встречу» — уведомление об отмене. Ответы участников (принял/отклонил) приходят письмом и автоматически обновляют статус участника.</w:t>
      </w:r>
    </w:p>
    <w:p>
      <w:pPr>
        <w:pStyle w:val="ListBullet"/>
      </w:pPr>
      <w:r>
        <w:t>Слева — список «Мои календари» с галочками показа и цветами; «Новый календарь», «Изменить», «Цвет…», «Удалить» — в контекстном меню.</w:t>
      </w:r>
    </w:p>
    <w:p>
      <w:pPr>
        <w:pStyle w:val="ListBullet"/>
      </w:pPr>
      <w:r>
        <w:t>«Синхронизировать с CalDAV» обменивается событиями с сервером, указанным в Параметрах (раздел «Подключение CalDAV»): адрес календаря, логин/пароль или единый вход, кнопки «Найти календари» (показывает все календари учётной записи, включая расшаренные коллегами) и «Проверить подключение» (включая проверку записи).</w:t>
      </w:r>
    </w:p>
    <w:p>
      <w:pPr>
        <w:pStyle w:val="ListBullet"/>
      </w:pPr>
      <w:r>
        <w:t>«Импортировать .ics…» добавляет события из файла; экспорт события в .ics — из окна встречи.</w:t>
      </w:r>
    </w:p>
    <w:p>
      <w:pPr>
        <w:pStyle w:val="Heading1"/>
      </w:pPr>
      <w:r>
        <w:t>5. Контакты</w:t>
      </w:r>
    </w:p>
    <w:p>
      <w:pPr>
        <w:pStyle w:val="ListBullet"/>
      </w:pPr>
      <w:r>
        <w:t>Список контактов с поиском; «Новый контакт…», «Изменить», «Удалить».</w:t>
      </w:r>
    </w:p>
    <w:p>
      <w:pPr>
        <w:pStyle w:val="ListBullet"/>
      </w:pPr>
      <w:r>
        <w:t>«Импортировать…» → «vCard (.vcf)» или «CSV (экспорт из Outlook)».</w:t>
      </w:r>
    </w:p>
    <w:p>
      <w:pPr>
        <w:pStyle w:val="ListBullet"/>
      </w:pPr>
      <w:r>
        <w:t>Из письма: контекстное меню → «Добавить отправителя в контакты…».</w:t>
      </w:r>
    </w:p>
    <w:p>
      <w:pPr>
        <w:pStyle w:val="Heading1"/>
      </w:pPr>
      <w:r>
        <w:t>6. Параметры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Раздел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20"/>
              </w:rPr>
              <w:t>Настройки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Общие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Тема оформления (светлая/тёмная), масштаб шрифта, расположение панели чтения, интервал проверки почты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Учётные записи и правила почты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Учётные записи IMAP/SMTP и Exchange, способ входа, keytab, правила сортировки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Подписи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Список подписей, подпись по умолчанию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Архивы почты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Каталог для новых архивов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Подключение CalDAV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Адрес календаря, вход, поиск календарей, проверка подключения</w:t>
            </w:r>
          </w:p>
        </w:tc>
      </w:tr>
    </w:tbl>
    <w:p/>
    <w:p>
      <w:pPr>
        <w:pStyle w:val="Heading1"/>
      </w:pPr>
      <w:r>
        <w:t>7. Устранение неполадок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Симптом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20"/>
              </w:rPr>
              <w:t>Действие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«Не удалось подключиться (IMAP)»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Проверьте сервер/порт/SSL и пароль; для публичных сервисов нужен пароль приложения.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Письмо не отправляется, сервер возвращает отбойник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Проверьте адреса получателей; убедитесь, что SMTP-сервер и порт соответствуют инструкции сервиса.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Единый вход не работает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Убедитесь, что машина введена в домен и есть билет (klist); сервер должен поддерживать GSSAPI/Negotiate. Иначе используйте пароль приложения.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Долгое «Загрузка…» после простоя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Программа переподключается автоматически; при длительной недоступности сервера нажмите «Обновить».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Синхронизация CalDAV: проверка проходит, а события не создаются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Нажмите «Проверить подключение» — он проверяет и запись; ошибка записи указывает на ограничения сервера/прокси.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